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A0CC" w14:textId="33EC5869" w:rsidR="00801C0D" w:rsidRPr="00B9319B" w:rsidRDefault="00C42D51" w:rsidP="00801C0D">
      <w:pPr>
        <w:widowControl w:val="0"/>
        <w:tabs>
          <w:tab w:val="left" w:pos="2736"/>
        </w:tabs>
        <w:ind w:firstLine="4"/>
        <w:rPr>
          <w:rFonts w:ascii="Arial" w:hAnsi="Arial" w:cs="Arial"/>
          <w:sz w:val="48"/>
          <w:szCs w:val="48"/>
        </w:rPr>
      </w:pPr>
      <w:r>
        <w:rPr>
          <w:rFonts w:ascii="Arial" w:hAnsi="Arial" w:cs="Arial"/>
          <w:sz w:val="48"/>
          <w:szCs w:val="48"/>
        </w:rPr>
        <w:t>Appointment of a Security/Caretaker</w:t>
      </w:r>
    </w:p>
    <w:p w14:paraId="77DCA0CD" w14:textId="77777777" w:rsidR="00801C0D" w:rsidRPr="00B9319B" w:rsidRDefault="00801C0D" w:rsidP="00801C0D">
      <w:pPr>
        <w:widowControl w:val="0"/>
        <w:tabs>
          <w:tab w:val="left" w:pos="2736"/>
        </w:tabs>
        <w:ind w:left="2196" w:hanging="2196"/>
        <w:rPr>
          <w:rFonts w:ascii="Arial" w:hAnsi="Arial" w:cs="Arial"/>
          <w:sz w:val="22"/>
          <w:szCs w:val="22"/>
        </w:rPr>
      </w:pPr>
    </w:p>
    <w:p w14:paraId="2A179FC7" w14:textId="77777777" w:rsidR="00C42D51" w:rsidRPr="00FC3E6E" w:rsidRDefault="00C42D51" w:rsidP="00C42D51">
      <w:pPr>
        <w:widowControl w:val="0"/>
        <w:ind w:left="2127" w:hanging="2127"/>
        <w:rPr>
          <w:rFonts w:ascii="Arial" w:hAnsi="Arial" w:cs="Arial"/>
          <w:sz w:val="22"/>
          <w:szCs w:val="22"/>
        </w:rPr>
      </w:pPr>
      <w:r w:rsidRPr="00B9319B">
        <w:rPr>
          <w:rFonts w:ascii="Arial" w:hAnsi="Arial" w:cs="Arial"/>
          <w:b/>
          <w:sz w:val="22"/>
          <w:szCs w:val="22"/>
        </w:rPr>
        <w:t>The department</w:t>
      </w:r>
      <w:r w:rsidRPr="00B9319B">
        <w:rPr>
          <w:rFonts w:ascii="Arial" w:hAnsi="Arial" w:cs="Arial"/>
          <w:b/>
          <w:sz w:val="22"/>
          <w:szCs w:val="22"/>
        </w:rPr>
        <w:tab/>
      </w:r>
      <w:r w:rsidRPr="006E6DE4">
        <w:rPr>
          <w:rFonts w:ascii="Arial" w:hAnsi="Arial" w:cs="Arial"/>
          <w:sz w:val="22"/>
          <w:szCs w:val="22"/>
        </w:rPr>
        <w:t xml:space="preserve">The </w:t>
      </w:r>
      <w:proofErr w:type="gramStart"/>
      <w:r w:rsidRPr="006E6DE4">
        <w:rPr>
          <w:rFonts w:ascii="Arial" w:hAnsi="Arial" w:cs="Arial"/>
          <w:sz w:val="22"/>
          <w:szCs w:val="22"/>
        </w:rPr>
        <w:t>university</w:t>
      </w:r>
      <w:proofErr w:type="gramEnd"/>
      <w:r w:rsidRPr="006E6DE4">
        <w:rPr>
          <w:rFonts w:ascii="Arial" w:hAnsi="Arial" w:cs="Arial"/>
          <w:sz w:val="22"/>
          <w:szCs w:val="22"/>
        </w:rPr>
        <w:t xml:space="preserve"> has an estate which consists of over 100 buildings, with a gross internal floor area of 135,000m</w:t>
      </w:r>
      <w:r w:rsidRPr="006E6DE4">
        <w:rPr>
          <w:rFonts w:ascii="Arial" w:hAnsi="Arial" w:cs="Arial"/>
          <w:sz w:val="22"/>
          <w:szCs w:val="22"/>
          <w:vertAlign w:val="superscript"/>
        </w:rPr>
        <w:t>2</w:t>
      </w:r>
      <w:r w:rsidRPr="006E6DE4">
        <w:rPr>
          <w:rFonts w:ascii="Arial" w:hAnsi="Arial" w:cs="Arial"/>
          <w:sz w:val="22"/>
          <w:szCs w:val="22"/>
        </w:rPr>
        <w:t xml:space="preserve"> for the non-residential estate, this is located at five main sites. The sites in Brighton are located at Grand Parade, </w:t>
      </w:r>
      <w:proofErr w:type="spellStart"/>
      <w:r w:rsidRPr="006E6DE4">
        <w:rPr>
          <w:rFonts w:ascii="Arial" w:hAnsi="Arial" w:cs="Arial"/>
          <w:sz w:val="22"/>
          <w:szCs w:val="22"/>
        </w:rPr>
        <w:t>Moulsecoomb</w:t>
      </w:r>
      <w:proofErr w:type="spellEnd"/>
      <w:r w:rsidRPr="006E6DE4">
        <w:rPr>
          <w:rFonts w:ascii="Arial" w:hAnsi="Arial" w:cs="Arial"/>
          <w:sz w:val="22"/>
          <w:szCs w:val="22"/>
        </w:rPr>
        <w:t xml:space="preserve"> and </w:t>
      </w:r>
      <w:proofErr w:type="spellStart"/>
      <w:r w:rsidRPr="006E6DE4">
        <w:rPr>
          <w:rFonts w:ascii="Arial" w:hAnsi="Arial" w:cs="Arial"/>
          <w:sz w:val="22"/>
          <w:szCs w:val="22"/>
        </w:rPr>
        <w:t>Falmer</w:t>
      </w:r>
      <w:proofErr w:type="spellEnd"/>
      <w:r w:rsidRPr="006E6DE4">
        <w:rPr>
          <w:rFonts w:ascii="Arial" w:hAnsi="Arial" w:cs="Arial"/>
          <w:sz w:val="22"/>
          <w:szCs w:val="22"/>
        </w:rPr>
        <w:t xml:space="preserve"> with further facilities located at Eastbourne and Hastings</w:t>
      </w:r>
      <w:r w:rsidRPr="00FC3E6E">
        <w:rPr>
          <w:rFonts w:ascii="Arial" w:hAnsi="Arial" w:cs="Arial"/>
          <w:sz w:val="22"/>
          <w:szCs w:val="22"/>
        </w:rPr>
        <w:t>.</w:t>
      </w:r>
    </w:p>
    <w:p w14:paraId="675962D7" w14:textId="77777777" w:rsidR="00C42D51" w:rsidRPr="00FC3E6E" w:rsidRDefault="00C42D51" w:rsidP="00C42D51">
      <w:pPr>
        <w:widowControl w:val="0"/>
        <w:ind w:left="2127" w:hanging="1418"/>
        <w:rPr>
          <w:rFonts w:ascii="Arial" w:hAnsi="Arial" w:cs="Arial"/>
          <w:sz w:val="22"/>
          <w:szCs w:val="22"/>
        </w:rPr>
      </w:pPr>
    </w:p>
    <w:p w14:paraId="6B31D23B"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 xml:space="preserve">There are a wide range of building types, from multi-storey tower blocks and large old houses to new purpose built student residences and specialist buildings, as well as car parks, gardens, playing fields, tennis courts, gymnasium and swimming pool.  Recently completed projects include the </w:t>
      </w:r>
      <w:proofErr w:type="spellStart"/>
      <w:r w:rsidRPr="00FC3E6E">
        <w:rPr>
          <w:rFonts w:ascii="Arial" w:hAnsi="Arial" w:cs="Arial"/>
          <w:sz w:val="22"/>
          <w:szCs w:val="22"/>
        </w:rPr>
        <w:t>Checkland</w:t>
      </w:r>
      <w:proofErr w:type="spellEnd"/>
      <w:r w:rsidRPr="00FC3E6E">
        <w:rPr>
          <w:rFonts w:ascii="Arial" w:hAnsi="Arial" w:cs="Arial"/>
          <w:sz w:val="22"/>
          <w:szCs w:val="22"/>
        </w:rPr>
        <w:t xml:space="preserve"> Building and </w:t>
      </w:r>
      <w:proofErr w:type="spellStart"/>
      <w:r w:rsidRPr="00FC3E6E">
        <w:rPr>
          <w:rFonts w:ascii="Arial" w:hAnsi="Arial" w:cs="Arial"/>
          <w:sz w:val="22"/>
          <w:szCs w:val="22"/>
        </w:rPr>
        <w:t>Falmer</w:t>
      </w:r>
      <w:proofErr w:type="spellEnd"/>
      <w:r w:rsidRPr="00FC3E6E">
        <w:rPr>
          <w:rFonts w:ascii="Arial" w:hAnsi="Arial" w:cs="Arial"/>
          <w:sz w:val="22"/>
          <w:szCs w:val="22"/>
        </w:rPr>
        <w:t xml:space="preserve"> Sports Hall at </w:t>
      </w:r>
      <w:proofErr w:type="spellStart"/>
      <w:r w:rsidRPr="00FC3E6E">
        <w:rPr>
          <w:rFonts w:ascii="Arial" w:hAnsi="Arial" w:cs="Arial"/>
          <w:sz w:val="22"/>
          <w:szCs w:val="22"/>
        </w:rPr>
        <w:t>Falmer</w:t>
      </w:r>
      <w:proofErr w:type="spellEnd"/>
      <w:r w:rsidRPr="00FC3E6E">
        <w:rPr>
          <w:rFonts w:ascii="Arial" w:hAnsi="Arial" w:cs="Arial"/>
          <w:sz w:val="22"/>
          <w:szCs w:val="22"/>
        </w:rPr>
        <w:t xml:space="preserve"> and the Huxley Biosciences Building at </w:t>
      </w:r>
      <w:proofErr w:type="spellStart"/>
      <w:r w:rsidRPr="00FC3E6E">
        <w:rPr>
          <w:rFonts w:ascii="Arial" w:hAnsi="Arial" w:cs="Arial"/>
          <w:sz w:val="22"/>
          <w:szCs w:val="22"/>
        </w:rPr>
        <w:t>Moulsecoomb</w:t>
      </w:r>
      <w:proofErr w:type="spellEnd"/>
      <w:r w:rsidRPr="00FC3E6E">
        <w:rPr>
          <w:rFonts w:ascii="Arial" w:hAnsi="Arial" w:cs="Arial"/>
          <w:sz w:val="22"/>
          <w:szCs w:val="22"/>
        </w:rPr>
        <w:t>.  Projects in the pipeline include the refurbishment of the Cockcroft Building and the proposed development of Preston Barracks.</w:t>
      </w:r>
    </w:p>
    <w:p w14:paraId="715B127F" w14:textId="77777777" w:rsidR="00C42D51" w:rsidRPr="00FC3E6E" w:rsidRDefault="00C42D51" w:rsidP="00C42D51">
      <w:pPr>
        <w:widowControl w:val="0"/>
        <w:ind w:left="2127" w:hanging="1418"/>
        <w:rPr>
          <w:rFonts w:ascii="Arial" w:hAnsi="Arial" w:cs="Arial"/>
          <w:sz w:val="22"/>
          <w:szCs w:val="22"/>
        </w:rPr>
      </w:pPr>
      <w:r>
        <w:rPr>
          <w:rFonts w:ascii="Arial" w:hAnsi="Arial" w:cs="Arial"/>
          <w:sz w:val="22"/>
          <w:szCs w:val="22"/>
        </w:rPr>
        <w:tab/>
      </w:r>
    </w:p>
    <w:p w14:paraId="4DE19616"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 xml:space="preserve">The </w:t>
      </w:r>
      <w:r>
        <w:rPr>
          <w:rFonts w:ascii="Arial" w:hAnsi="Arial" w:cs="Arial"/>
          <w:sz w:val="22"/>
          <w:szCs w:val="22"/>
        </w:rPr>
        <w:t xml:space="preserve">Estate and Facilities Management </w:t>
      </w:r>
      <w:r w:rsidRPr="00FC3E6E">
        <w:rPr>
          <w:rFonts w:ascii="Arial" w:hAnsi="Arial" w:cs="Arial"/>
          <w:sz w:val="22"/>
          <w:szCs w:val="22"/>
        </w:rPr>
        <w:t xml:space="preserve">department is also responsible for all maintenance and building works, embracing everything from minor repair works to very large building projects.  At site level, day-to-day maintenance work is carried out under the direction of a Site Technical Officer. Site-based </w:t>
      </w:r>
      <w:proofErr w:type="gramStart"/>
      <w:r w:rsidRPr="00FC3E6E">
        <w:rPr>
          <w:rFonts w:ascii="Arial" w:hAnsi="Arial" w:cs="Arial"/>
          <w:sz w:val="22"/>
          <w:szCs w:val="22"/>
        </w:rPr>
        <w:t>staff include</w:t>
      </w:r>
      <w:proofErr w:type="gramEnd"/>
      <w:r w:rsidRPr="00FC3E6E">
        <w:rPr>
          <w:rFonts w:ascii="Arial" w:hAnsi="Arial" w:cs="Arial"/>
          <w:sz w:val="22"/>
          <w:szCs w:val="22"/>
        </w:rPr>
        <w:t xml:space="preserve"> skilled craft workers, maintenance and grounds staff.</w:t>
      </w:r>
    </w:p>
    <w:p w14:paraId="62479EE2" w14:textId="77777777" w:rsidR="00C42D51" w:rsidRPr="00FC3E6E" w:rsidRDefault="00C42D51" w:rsidP="00C42D51">
      <w:pPr>
        <w:widowControl w:val="0"/>
        <w:ind w:left="2127" w:hanging="1418"/>
        <w:rPr>
          <w:rFonts w:ascii="Arial" w:hAnsi="Arial" w:cs="Arial"/>
          <w:sz w:val="22"/>
          <w:szCs w:val="22"/>
        </w:rPr>
      </w:pPr>
    </w:p>
    <w:p w14:paraId="70A73C95"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Programmed major maintenance and alteration projects are undertaken by a team of engineers and surveyors from the central office. The Assistant Director of Estate and Facilities Management (Technical Team Manager) is responsible for the overall management of these services.</w:t>
      </w:r>
    </w:p>
    <w:p w14:paraId="5ACC2354" w14:textId="77777777" w:rsidR="00C42D51" w:rsidRPr="00FC3E6E" w:rsidRDefault="00C42D51" w:rsidP="00C42D51">
      <w:pPr>
        <w:widowControl w:val="0"/>
        <w:ind w:left="2127" w:hanging="1418"/>
        <w:rPr>
          <w:rFonts w:ascii="Arial" w:hAnsi="Arial" w:cs="Arial"/>
          <w:sz w:val="22"/>
          <w:szCs w:val="22"/>
        </w:rPr>
      </w:pPr>
    </w:p>
    <w:p w14:paraId="64742973"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New building works such as student residential developments and other major new building initiatives are carried out under the direction of the Deputy Director of Estate a</w:t>
      </w:r>
      <w:r>
        <w:rPr>
          <w:rFonts w:ascii="Arial" w:hAnsi="Arial" w:cs="Arial"/>
          <w:sz w:val="22"/>
          <w:szCs w:val="22"/>
        </w:rPr>
        <w:t xml:space="preserve">nd Facilities Management; </w:t>
      </w:r>
      <w:r w:rsidRPr="00FC3E6E">
        <w:rPr>
          <w:rFonts w:ascii="Arial" w:hAnsi="Arial" w:cs="Arial"/>
          <w:sz w:val="22"/>
          <w:szCs w:val="22"/>
        </w:rPr>
        <w:t>as are accommodation planning requirements and major refurbishments to existing university accommodation.</w:t>
      </w:r>
    </w:p>
    <w:p w14:paraId="57671C1C" w14:textId="77777777" w:rsidR="00C42D51" w:rsidRPr="00FC3E6E" w:rsidRDefault="00C42D51" w:rsidP="00C42D51">
      <w:pPr>
        <w:widowControl w:val="0"/>
        <w:ind w:left="2127" w:hanging="1418"/>
        <w:rPr>
          <w:rFonts w:ascii="Arial" w:hAnsi="Arial" w:cs="Arial"/>
          <w:sz w:val="22"/>
          <w:szCs w:val="22"/>
        </w:rPr>
      </w:pPr>
    </w:p>
    <w:p w14:paraId="29AE3743"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The Director of Estate and Facilities Management has overall responsibility for all of the services provided by the Department of Estate and Facilities Management and is the Cost Centre Manager for a revenue budget in excess of £12 million.</w:t>
      </w:r>
    </w:p>
    <w:p w14:paraId="1B8ADE0F" w14:textId="77777777" w:rsidR="00C42D51" w:rsidRPr="00FC3E6E" w:rsidRDefault="00C42D51" w:rsidP="00C42D51">
      <w:pPr>
        <w:widowControl w:val="0"/>
        <w:ind w:left="2127" w:hanging="1418"/>
        <w:rPr>
          <w:rFonts w:ascii="Arial" w:hAnsi="Arial" w:cs="Arial"/>
          <w:sz w:val="22"/>
          <w:szCs w:val="22"/>
        </w:rPr>
      </w:pPr>
    </w:p>
    <w:p w14:paraId="39759B53"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 xml:space="preserve">Other responsibilities which are centrally managed include </w:t>
      </w:r>
      <w:r>
        <w:rPr>
          <w:rFonts w:ascii="Arial" w:hAnsi="Arial" w:cs="Arial"/>
          <w:sz w:val="22"/>
          <w:szCs w:val="22"/>
        </w:rPr>
        <w:t xml:space="preserve">estate related </w:t>
      </w:r>
      <w:r w:rsidRPr="00FC3E6E">
        <w:rPr>
          <w:rFonts w:ascii="Arial" w:hAnsi="Arial" w:cs="Arial"/>
          <w:sz w:val="22"/>
          <w:szCs w:val="22"/>
        </w:rPr>
        <w:t>health and safety, room bookings, vehicle bookings, telecommunications, mail, furniture and fittings and other essential Estate and Facilities</w:t>
      </w:r>
      <w:r>
        <w:rPr>
          <w:rFonts w:ascii="Arial" w:hAnsi="Arial" w:cs="Arial"/>
          <w:sz w:val="22"/>
          <w:szCs w:val="22"/>
        </w:rPr>
        <w:t xml:space="preserve"> </w:t>
      </w:r>
      <w:r w:rsidRPr="00FC3E6E">
        <w:rPr>
          <w:rFonts w:ascii="Arial" w:hAnsi="Arial" w:cs="Arial"/>
          <w:sz w:val="22"/>
          <w:szCs w:val="22"/>
        </w:rPr>
        <w:t>related services.</w:t>
      </w:r>
    </w:p>
    <w:p w14:paraId="6FD489A1" w14:textId="77777777" w:rsidR="00C42D51" w:rsidRPr="00FC3E6E" w:rsidRDefault="00C42D51" w:rsidP="00C42D51">
      <w:pPr>
        <w:widowControl w:val="0"/>
        <w:ind w:left="2127" w:hanging="1418"/>
        <w:rPr>
          <w:rFonts w:ascii="Arial" w:hAnsi="Arial" w:cs="Arial"/>
          <w:sz w:val="22"/>
          <w:szCs w:val="22"/>
        </w:rPr>
      </w:pPr>
    </w:p>
    <w:p w14:paraId="47B0D475" w14:textId="77777777" w:rsidR="00C42D51" w:rsidRPr="00FC3E6E" w:rsidRDefault="00C42D51" w:rsidP="00C42D51">
      <w:pPr>
        <w:widowControl w:val="0"/>
        <w:ind w:left="2127"/>
        <w:rPr>
          <w:rFonts w:ascii="Arial" w:hAnsi="Arial" w:cs="Arial"/>
          <w:sz w:val="22"/>
          <w:szCs w:val="22"/>
        </w:rPr>
      </w:pPr>
      <w:r w:rsidRPr="00FC3E6E">
        <w:rPr>
          <w:rFonts w:ascii="Arial" w:hAnsi="Arial" w:cs="Arial"/>
          <w:sz w:val="22"/>
          <w:szCs w:val="22"/>
        </w:rPr>
        <w:t>The Department of Estate and Facilities Management is continually striving to deliver a level of quality service through the concepts of teamwork, team spirit and recognition of a level of customer care that the university can be proud of.</w:t>
      </w:r>
    </w:p>
    <w:p w14:paraId="65D366CA" w14:textId="77777777" w:rsidR="00C42D51" w:rsidRPr="00FC3E6E" w:rsidRDefault="00C42D51" w:rsidP="00C42D51">
      <w:pPr>
        <w:widowControl w:val="0"/>
        <w:ind w:left="2127" w:hanging="1418"/>
        <w:rPr>
          <w:rFonts w:ascii="Arial" w:hAnsi="Arial" w:cs="Arial"/>
          <w:sz w:val="22"/>
          <w:szCs w:val="22"/>
        </w:rPr>
      </w:pPr>
    </w:p>
    <w:p w14:paraId="7A1B4EDD" w14:textId="77777777" w:rsidR="00C42D51" w:rsidRPr="00FC3E6E" w:rsidRDefault="00C42D51" w:rsidP="00C42D51">
      <w:pPr>
        <w:widowControl w:val="0"/>
        <w:ind w:left="2127"/>
        <w:rPr>
          <w:rFonts w:ascii="Arial" w:hAnsi="Arial" w:cs="Arial"/>
          <w:b/>
          <w:sz w:val="22"/>
          <w:szCs w:val="22"/>
        </w:rPr>
      </w:pPr>
      <w:r w:rsidRPr="00FC3E6E">
        <w:rPr>
          <w:rFonts w:ascii="Arial" w:hAnsi="Arial" w:cs="Arial"/>
          <w:sz w:val="22"/>
          <w:szCs w:val="22"/>
        </w:rPr>
        <w:t>Our objective is to succeed in our aims by adopting a quality approach, not only in the service we provide but also in the environment we create for our students, staff and visitors alike.</w:t>
      </w:r>
    </w:p>
    <w:p w14:paraId="3BF91908" w14:textId="77777777" w:rsidR="000E37B1" w:rsidRPr="00B9319B" w:rsidRDefault="000E37B1" w:rsidP="000E37B1">
      <w:pPr>
        <w:widowControl w:val="0"/>
        <w:ind w:left="2196" w:hanging="2196"/>
        <w:rPr>
          <w:rFonts w:ascii="Arial" w:hAnsi="Arial" w:cs="Arial"/>
          <w:b/>
          <w:sz w:val="22"/>
          <w:szCs w:val="22"/>
        </w:rPr>
      </w:pPr>
    </w:p>
    <w:p w14:paraId="77DCA0E0" w14:textId="77777777" w:rsidR="00801C0D" w:rsidRPr="00B9319B" w:rsidRDefault="00801C0D" w:rsidP="00801C0D">
      <w:pPr>
        <w:widowControl w:val="0"/>
        <w:ind w:left="2520" w:hanging="360"/>
        <w:rPr>
          <w:rFonts w:ascii="Arial" w:hAnsi="Arial" w:cs="Arial"/>
          <w:b/>
          <w:sz w:val="22"/>
          <w:szCs w:val="22"/>
        </w:rPr>
      </w:pPr>
    </w:p>
    <w:p w14:paraId="77DCA0E3" w14:textId="77777777" w:rsidR="00801C0D" w:rsidRPr="00B9319B" w:rsidRDefault="00801C0D" w:rsidP="00801C0D">
      <w:pPr>
        <w:widowControl w:val="0"/>
        <w:tabs>
          <w:tab w:val="left" w:pos="2736"/>
        </w:tabs>
        <w:ind w:left="2194" w:hanging="2194"/>
        <w:rPr>
          <w:rFonts w:ascii="Arial" w:hAnsi="Arial" w:cs="Arial"/>
          <w:sz w:val="22"/>
          <w:szCs w:val="22"/>
        </w:rPr>
      </w:pPr>
      <w:r w:rsidRPr="00B9319B">
        <w:rPr>
          <w:rFonts w:ascii="Arial" w:hAnsi="Arial" w:cs="Arial"/>
          <w:b/>
          <w:sz w:val="22"/>
          <w:szCs w:val="22"/>
        </w:rPr>
        <w:lastRenderedPageBreak/>
        <w:t xml:space="preserve">Job sharing </w:t>
      </w:r>
      <w:r w:rsidRPr="00B9319B">
        <w:rPr>
          <w:rFonts w:ascii="Arial" w:hAnsi="Arial" w:cs="Arial"/>
          <w:sz w:val="22"/>
          <w:szCs w:val="22"/>
        </w:rPr>
        <w:tab/>
        <w:t>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w:t>
      </w:r>
    </w:p>
    <w:p w14:paraId="77DCA0E4" w14:textId="77777777" w:rsidR="00801C0D" w:rsidRPr="00B9319B" w:rsidRDefault="00801C0D" w:rsidP="00801C0D">
      <w:pPr>
        <w:widowControl w:val="0"/>
        <w:ind w:left="2160"/>
        <w:rPr>
          <w:rFonts w:ascii="Arial" w:hAnsi="Arial" w:cs="Arial"/>
          <w:sz w:val="22"/>
          <w:szCs w:val="22"/>
        </w:rPr>
      </w:pPr>
    </w:p>
    <w:p w14:paraId="77DCA0E5" w14:textId="77777777" w:rsidR="00801C0D" w:rsidRPr="00B9319B" w:rsidRDefault="00801C0D" w:rsidP="00801C0D">
      <w:pPr>
        <w:widowControl w:val="0"/>
        <w:ind w:left="2194"/>
        <w:rPr>
          <w:rFonts w:ascii="Arial" w:hAnsi="Arial" w:cs="Arial"/>
          <w:sz w:val="22"/>
          <w:szCs w:val="22"/>
        </w:rPr>
      </w:pPr>
      <w:r w:rsidRPr="00B9319B">
        <w:rPr>
          <w:rFonts w:ascii="Arial" w:hAnsi="Arial" w:cs="Arial"/>
          <w:sz w:val="22"/>
          <w:szCs w:val="22"/>
        </w:rPr>
        <w:t xml:space="preserve">Potential job sharers do not have to apply with a partner. However, if a post is to be operated as a job share there must be at least two suitable applicants who wish to share the job. </w:t>
      </w:r>
    </w:p>
    <w:p w14:paraId="77DCA0E6" w14:textId="77777777" w:rsidR="00801C0D" w:rsidRPr="00B9319B" w:rsidRDefault="00801C0D" w:rsidP="00801C0D">
      <w:pPr>
        <w:widowControl w:val="0"/>
        <w:ind w:left="2160"/>
        <w:rPr>
          <w:rFonts w:ascii="Arial" w:hAnsi="Arial" w:cs="Arial"/>
          <w:sz w:val="22"/>
          <w:szCs w:val="22"/>
        </w:rPr>
      </w:pPr>
    </w:p>
    <w:p w14:paraId="77DCA0E7" w14:textId="77777777" w:rsidR="00801C0D" w:rsidRPr="00B9319B" w:rsidRDefault="00801C0D" w:rsidP="00801C0D">
      <w:pPr>
        <w:widowControl w:val="0"/>
        <w:tabs>
          <w:tab w:val="left" w:pos="2736"/>
        </w:tabs>
        <w:ind w:left="2194" w:hanging="2194"/>
        <w:rPr>
          <w:rFonts w:ascii="Arial" w:hAnsi="Arial" w:cs="Arial"/>
          <w:sz w:val="22"/>
          <w:szCs w:val="22"/>
        </w:rPr>
      </w:pPr>
      <w:r w:rsidRPr="00B9319B">
        <w:rPr>
          <w:rFonts w:ascii="Arial" w:hAnsi="Arial" w:cs="Arial"/>
          <w:sz w:val="22"/>
          <w:szCs w:val="22"/>
        </w:rPr>
        <w:tab/>
        <w:t>A job share appointment will only be made if it has been demonstrated that both shortlisted applicants can do the job to the required standards and within a working pattern of hours that is agreeable to all parties. If one applicant is unsuitable, neither can be appointed unless an alternative potential job sharer has been shortlisted.</w:t>
      </w:r>
    </w:p>
    <w:p w14:paraId="77DCA0E8" w14:textId="77777777" w:rsidR="00801C0D" w:rsidRPr="00B9319B" w:rsidRDefault="00801C0D" w:rsidP="00801C0D">
      <w:pPr>
        <w:widowControl w:val="0"/>
        <w:ind w:left="2160"/>
        <w:rPr>
          <w:rFonts w:ascii="Arial" w:hAnsi="Arial" w:cs="Arial"/>
          <w:sz w:val="22"/>
          <w:szCs w:val="22"/>
        </w:rPr>
      </w:pPr>
    </w:p>
    <w:p w14:paraId="624764B9" w14:textId="77777777" w:rsidR="00D8564E" w:rsidRDefault="00D8564E" w:rsidP="00D8564E">
      <w:pPr>
        <w:widowControl w:val="0"/>
        <w:ind w:left="2160"/>
        <w:rPr>
          <w:rFonts w:ascii="Arial" w:hAnsi="Arial" w:cs="Arial"/>
          <w:sz w:val="22"/>
          <w:szCs w:val="22"/>
        </w:rPr>
      </w:pPr>
      <w:r>
        <w:rPr>
          <w:rFonts w:ascii="Arial" w:hAnsi="Arial" w:cs="Arial"/>
          <w:sz w:val="22"/>
          <w:szCs w:val="22"/>
        </w:rPr>
        <w:t xml:space="preserve">When applying as a job sharer please indicate this on your application form.  Please also indicate on the additional information tab whether you are applying with a job share partner and the name of that person. It would also be useful if you could indicate whether you would be interested in the post on a full-time basis if no suitable partner can be found. If you have indicated that you would be willing to take up the position on a full-time basis </w:t>
      </w:r>
      <w:proofErr w:type="spellStart"/>
      <w:r>
        <w:rPr>
          <w:rFonts w:ascii="Arial" w:hAnsi="Arial" w:cs="Arial"/>
          <w:sz w:val="22"/>
          <w:szCs w:val="22"/>
        </w:rPr>
        <w:t>then</w:t>
      </w:r>
      <w:proofErr w:type="spellEnd"/>
      <w:r>
        <w:rPr>
          <w:rFonts w:ascii="Arial" w:hAnsi="Arial" w:cs="Arial"/>
          <w:sz w:val="22"/>
          <w:szCs w:val="22"/>
        </w:rPr>
        <w:t xml:space="preserve"> the normal recruitment procedure will be followed.</w:t>
      </w:r>
    </w:p>
    <w:p w14:paraId="2264A1BD" w14:textId="77777777" w:rsidR="002E5ACD" w:rsidRPr="00B9319B" w:rsidRDefault="002E5ACD" w:rsidP="00801C0D">
      <w:pPr>
        <w:widowControl w:val="0"/>
        <w:ind w:left="2160" w:hanging="2160"/>
        <w:rPr>
          <w:rFonts w:ascii="Arial" w:hAnsi="Arial" w:cs="Arial"/>
          <w:sz w:val="22"/>
          <w:szCs w:val="22"/>
        </w:rPr>
      </w:pPr>
    </w:p>
    <w:p w14:paraId="77DCA0EB" w14:textId="77777777" w:rsidR="00801C0D" w:rsidRPr="00B9319B" w:rsidRDefault="00801C0D" w:rsidP="00801C0D">
      <w:pPr>
        <w:widowControl w:val="0"/>
        <w:ind w:left="2194" w:hanging="2194"/>
        <w:rPr>
          <w:rFonts w:ascii="Arial" w:hAnsi="Arial" w:cs="Arial"/>
          <w:sz w:val="22"/>
          <w:szCs w:val="22"/>
        </w:rPr>
      </w:pPr>
      <w:r w:rsidRPr="00B9319B">
        <w:rPr>
          <w:rFonts w:ascii="Arial" w:hAnsi="Arial" w:cs="Arial"/>
          <w:sz w:val="22"/>
          <w:szCs w:val="22"/>
        </w:rPr>
        <w:tab/>
        <w:t xml:space="preserve">If you are interested in appointment on a job share basis, please contact </w:t>
      </w:r>
      <w:r>
        <w:rPr>
          <w:rFonts w:ascii="Arial" w:hAnsi="Arial" w:cs="Arial"/>
          <w:sz w:val="22"/>
          <w:szCs w:val="22"/>
        </w:rPr>
        <w:t>Human Resources</w:t>
      </w:r>
      <w:r w:rsidRPr="00B9319B">
        <w:rPr>
          <w:rFonts w:ascii="Arial" w:hAnsi="Arial" w:cs="Arial"/>
          <w:sz w:val="22"/>
          <w:szCs w:val="22"/>
        </w:rPr>
        <w:t xml:space="preserve"> for a copy of the university's policy, procedure and guidelines for job sharing.  Alternatively staff in </w:t>
      </w:r>
      <w:r>
        <w:rPr>
          <w:rFonts w:ascii="Arial" w:hAnsi="Arial" w:cs="Arial"/>
          <w:sz w:val="22"/>
          <w:szCs w:val="22"/>
        </w:rPr>
        <w:t>Human Resources</w:t>
      </w:r>
      <w:r w:rsidRPr="00B9319B">
        <w:rPr>
          <w:rFonts w:ascii="Arial" w:hAnsi="Arial" w:cs="Arial"/>
          <w:sz w:val="22"/>
          <w:szCs w:val="22"/>
        </w:rPr>
        <w:t xml:space="preserve"> will be happy to answer any queries you may have.</w:t>
      </w:r>
    </w:p>
    <w:p w14:paraId="77DCA0F4" w14:textId="03A2BB9F" w:rsidR="00801C0D" w:rsidRPr="00B9319B" w:rsidRDefault="00801C0D" w:rsidP="00C42D51">
      <w:pPr>
        <w:widowControl w:val="0"/>
        <w:ind w:left="2160" w:hanging="2160"/>
        <w:rPr>
          <w:rFonts w:ascii="Arial" w:hAnsi="Arial" w:cs="Arial"/>
          <w:sz w:val="22"/>
          <w:szCs w:val="22"/>
        </w:rPr>
      </w:pPr>
      <w:r w:rsidRPr="00B9319B">
        <w:rPr>
          <w:rFonts w:ascii="Arial" w:hAnsi="Arial" w:cs="Arial"/>
          <w:sz w:val="22"/>
          <w:szCs w:val="22"/>
        </w:rPr>
        <w:tab/>
      </w:r>
    </w:p>
    <w:p w14:paraId="77DCA0F7" w14:textId="2093034E" w:rsidR="00801C0D" w:rsidRPr="00B9319B" w:rsidRDefault="00801C0D" w:rsidP="00801C0D">
      <w:pPr>
        <w:widowControl w:val="0"/>
        <w:ind w:left="2194" w:hanging="2194"/>
        <w:rPr>
          <w:rFonts w:ascii="Arial" w:hAnsi="Arial" w:cs="Arial"/>
          <w:sz w:val="22"/>
          <w:szCs w:val="22"/>
        </w:rPr>
      </w:pPr>
      <w:r w:rsidRPr="00B9319B">
        <w:rPr>
          <w:rFonts w:ascii="Arial" w:hAnsi="Arial" w:cs="Arial"/>
          <w:b/>
          <w:sz w:val="22"/>
          <w:szCs w:val="22"/>
        </w:rPr>
        <w:t>The job</w:t>
      </w:r>
      <w:r w:rsidRPr="00B9319B">
        <w:rPr>
          <w:rFonts w:ascii="Arial" w:hAnsi="Arial" w:cs="Arial"/>
          <w:b/>
          <w:i/>
          <w:sz w:val="22"/>
          <w:szCs w:val="22"/>
        </w:rPr>
        <w:tab/>
      </w:r>
      <w:r w:rsidRPr="00B9319B">
        <w:rPr>
          <w:rFonts w:ascii="Arial" w:hAnsi="Arial" w:cs="Arial"/>
          <w:sz w:val="22"/>
          <w:szCs w:val="22"/>
        </w:rPr>
        <w:t>Details of the job are described in the attached job description.</w:t>
      </w:r>
    </w:p>
    <w:p w14:paraId="77DCA0F8" w14:textId="77777777" w:rsidR="00801C0D" w:rsidRPr="00B9319B" w:rsidRDefault="00801C0D" w:rsidP="00801C0D">
      <w:pPr>
        <w:widowControl w:val="0"/>
        <w:ind w:left="2196" w:hanging="2196"/>
        <w:rPr>
          <w:rFonts w:ascii="Arial" w:hAnsi="Arial" w:cs="Arial"/>
          <w:sz w:val="22"/>
          <w:szCs w:val="22"/>
        </w:rPr>
      </w:pPr>
    </w:p>
    <w:p w14:paraId="1B3C1191" w14:textId="2AB507D1" w:rsidR="002817CB" w:rsidRPr="00B9319B" w:rsidRDefault="00801C0D" w:rsidP="002817CB">
      <w:pPr>
        <w:widowControl w:val="0"/>
        <w:tabs>
          <w:tab w:val="left" w:pos="2736"/>
        </w:tabs>
        <w:ind w:left="2194" w:hanging="2194"/>
        <w:rPr>
          <w:rFonts w:ascii="Arial" w:hAnsi="Arial" w:cs="Arial"/>
          <w:sz w:val="22"/>
          <w:szCs w:val="22"/>
        </w:rPr>
      </w:pPr>
      <w:r w:rsidRPr="00B9319B">
        <w:rPr>
          <w:rFonts w:ascii="Arial" w:hAnsi="Arial" w:cs="Arial"/>
          <w:b/>
          <w:sz w:val="22"/>
          <w:szCs w:val="22"/>
        </w:rPr>
        <w:t>The salary</w:t>
      </w:r>
      <w:r w:rsidRPr="00B9319B">
        <w:rPr>
          <w:rFonts w:ascii="Arial" w:hAnsi="Arial" w:cs="Arial"/>
          <w:sz w:val="22"/>
          <w:szCs w:val="22"/>
        </w:rPr>
        <w:tab/>
      </w:r>
      <w:r w:rsidR="002817CB" w:rsidRPr="00B9319B">
        <w:rPr>
          <w:rFonts w:ascii="Arial" w:hAnsi="Arial" w:cs="Arial"/>
          <w:sz w:val="22"/>
          <w:szCs w:val="22"/>
        </w:rPr>
        <w:t xml:space="preserve">Salaries are paid monthly in arrears through the BACS System directly into the bank or building society account of each member of staff. </w:t>
      </w:r>
    </w:p>
    <w:p w14:paraId="77DCA0F9" w14:textId="348944D5" w:rsidR="00801C0D" w:rsidRPr="00B9319B" w:rsidRDefault="00801C0D" w:rsidP="00801C0D">
      <w:pPr>
        <w:widowControl w:val="0"/>
        <w:ind w:left="2194" w:hanging="2194"/>
        <w:rPr>
          <w:rFonts w:ascii="Arial" w:hAnsi="Arial" w:cs="Arial"/>
          <w:sz w:val="22"/>
          <w:szCs w:val="22"/>
        </w:rPr>
      </w:pPr>
    </w:p>
    <w:p w14:paraId="77DCA0FB" w14:textId="6538CB13" w:rsidR="00801C0D" w:rsidRPr="00B9319B" w:rsidRDefault="00801C0D" w:rsidP="00801C0D">
      <w:pPr>
        <w:widowControl w:val="0"/>
        <w:tabs>
          <w:tab w:val="left" w:pos="2736"/>
        </w:tabs>
        <w:ind w:left="2194" w:hanging="2194"/>
        <w:rPr>
          <w:rFonts w:ascii="Arial" w:hAnsi="Arial" w:cs="Arial"/>
          <w:sz w:val="22"/>
          <w:szCs w:val="22"/>
        </w:rPr>
      </w:pPr>
      <w:r w:rsidRPr="00B9319B">
        <w:rPr>
          <w:rFonts w:ascii="Arial" w:hAnsi="Arial" w:cs="Arial"/>
          <w:sz w:val="22"/>
          <w:szCs w:val="22"/>
        </w:rPr>
        <w:tab/>
        <w:t>Salary payments for staff that work less than 52 weeks per year are spread evenly over twelve months of the year so that they continue to receive payment during the times they are not contracted to work.  This means that, when they leave the em</w:t>
      </w:r>
      <w:r w:rsidR="003D0381">
        <w:rPr>
          <w:rFonts w:ascii="Arial" w:hAnsi="Arial" w:cs="Arial"/>
          <w:sz w:val="22"/>
          <w:szCs w:val="22"/>
        </w:rPr>
        <w:t>ployment of the u</w:t>
      </w:r>
      <w:r w:rsidRPr="00B9319B">
        <w:rPr>
          <w:rFonts w:ascii="Arial" w:hAnsi="Arial" w:cs="Arial"/>
          <w:sz w:val="22"/>
          <w:szCs w:val="22"/>
        </w:rPr>
        <w:t>niversity, they may have received either an over or underpayment for that year, according to the date of leaving in relation to the anniversary of the start date.  In such cases, the adjustment would be made in the final salary payment, as a deduction or lump sum payment, as applicable.</w:t>
      </w:r>
    </w:p>
    <w:p w14:paraId="77DCA0FC" w14:textId="77777777" w:rsidR="00801C0D" w:rsidRPr="00B9319B" w:rsidRDefault="00801C0D" w:rsidP="00801C0D">
      <w:pPr>
        <w:widowControl w:val="0"/>
        <w:tabs>
          <w:tab w:val="left" w:pos="2736"/>
        </w:tabs>
        <w:ind w:left="2196" w:hanging="2196"/>
        <w:rPr>
          <w:rFonts w:ascii="Arial" w:hAnsi="Arial" w:cs="Arial"/>
          <w:sz w:val="22"/>
          <w:szCs w:val="22"/>
        </w:rPr>
      </w:pPr>
    </w:p>
    <w:p w14:paraId="77DCA107" w14:textId="6093B9B8" w:rsidR="00801C0D" w:rsidRPr="00B9319B" w:rsidRDefault="00801C0D" w:rsidP="00C42D51">
      <w:pPr>
        <w:widowControl w:val="0"/>
        <w:tabs>
          <w:tab w:val="left" w:pos="2736"/>
        </w:tabs>
        <w:ind w:left="2194" w:hanging="2194"/>
        <w:rPr>
          <w:rFonts w:ascii="Arial" w:hAnsi="Arial" w:cs="Arial"/>
          <w:b/>
          <w:sz w:val="22"/>
          <w:szCs w:val="22"/>
        </w:rPr>
      </w:pPr>
      <w:r w:rsidRPr="00B9319B">
        <w:rPr>
          <w:rFonts w:ascii="Arial" w:hAnsi="Arial" w:cs="Arial"/>
          <w:b/>
          <w:sz w:val="22"/>
          <w:szCs w:val="22"/>
        </w:rPr>
        <w:t>Working week</w:t>
      </w:r>
      <w:r w:rsidRPr="00B9319B">
        <w:rPr>
          <w:rFonts w:ascii="Arial" w:hAnsi="Arial" w:cs="Arial"/>
          <w:sz w:val="22"/>
          <w:szCs w:val="22"/>
        </w:rPr>
        <w:tab/>
      </w:r>
      <w:proofErr w:type="gramStart"/>
      <w:r w:rsidRPr="00C42D51">
        <w:rPr>
          <w:rFonts w:ascii="Arial" w:hAnsi="Arial" w:cs="Arial"/>
          <w:sz w:val="22"/>
          <w:szCs w:val="22"/>
        </w:rPr>
        <w:t>The</w:t>
      </w:r>
      <w:proofErr w:type="gramEnd"/>
      <w:r w:rsidRPr="00C42D51">
        <w:rPr>
          <w:rFonts w:ascii="Arial" w:hAnsi="Arial" w:cs="Arial"/>
          <w:sz w:val="22"/>
          <w:szCs w:val="22"/>
        </w:rPr>
        <w:t xml:space="preserve"> hours of work for this post are </w:t>
      </w:r>
      <w:r w:rsidR="00C42D51" w:rsidRPr="00C42D51">
        <w:rPr>
          <w:rFonts w:ascii="Arial" w:hAnsi="Arial" w:cs="Arial"/>
          <w:sz w:val="22"/>
          <w:szCs w:val="22"/>
        </w:rPr>
        <w:t>37</w:t>
      </w:r>
      <w:r w:rsidRPr="00C42D51">
        <w:rPr>
          <w:rFonts w:ascii="Arial" w:hAnsi="Arial" w:cs="Arial"/>
          <w:sz w:val="22"/>
          <w:szCs w:val="22"/>
        </w:rPr>
        <w:t xml:space="preserve"> hours per week, excluding meal breaks (these are unpaid), 52 weeks per year and </w:t>
      </w:r>
      <w:r w:rsidR="00C42D51" w:rsidRPr="00C42D51">
        <w:rPr>
          <w:rFonts w:ascii="Arial" w:hAnsi="Arial" w:cs="Arial"/>
          <w:sz w:val="22"/>
          <w:szCs w:val="22"/>
        </w:rPr>
        <w:t xml:space="preserve">the hours of attendance is on an alternating shift pattern </w:t>
      </w:r>
      <w:r w:rsidR="00C42D51">
        <w:rPr>
          <w:rFonts w:ascii="Arial" w:hAnsi="Arial" w:cs="Arial"/>
          <w:sz w:val="22"/>
          <w:szCs w:val="22"/>
        </w:rPr>
        <w:t xml:space="preserve">basis </w:t>
      </w:r>
      <w:r w:rsidR="00C42D51" w:rsidRPr="00C42D51">
        <w:rPr>
          <w:rFonts w:ascii="Arial" w:hAnsi="Arial" w:cs="Arial"/>
          <w:sz w:val="22"/>
          <w:szCs w:val="22"/>
        </w:rPr>
        <w:t>of 06.00-14.00 and 13.30-21.30.</w:t>
      </w:r>
      <w:r w:rsidR="00C42D51" w:rsidRPr="00C42D51">
        <w:rPr>
          <w:rFonts w:ascii="Arial" w:hAnsi="Arial" w:cs="Arial"/>
          <w:b/>
          <w:sz w:val="22"/>
          <w:szCs w:val="22"/>
        </w:rPr>
        <w:t xml:space="preserve">  </w:t>
      </w:r>
    </w:p>
    <w:p w14:paraId="77DCA111" w14:textId="692F3375" w:rsidR="00801C0D" w:rsidRPr="00C42D51" w:rsidRDefault="00801C0D" w:rsidP="00C42D51">
      <w:pPr>
        <w:pStyle w:val="BodyTextIndent"/>
        <w:ind w:left="0" w:firstLine="0"/>
        <w:rPr>
          <w:rFonts w:ascii="Arial" w:hAnsi="Arial" w:cs="Arial"/>
          <w:b w:val="0"/>
          <w:sz w:val="22"/>
          <w:szCs w:val="22"/>
        </w:rPr>
      </w:pPr>
      <w:bookmarkStart w:id="0" w:name="_GoBack"/>
      <w:bookmarkEnd w:id="0"/>
    </w:p>
    <w:p w14:paraId="1C700A06" w14:textId="3B32642F" w:rsidR="006F66AF" w:rsidRDefault="006F66AF" w:rsidP="006F66AF">
      <w:pPr>
        <w:widowControl w:val="0"/>
        <w:tabs>
          <w:tab w:val="left" w:pos="360"/>
        </w:tabs>
        <w:spacing w:line="280" w:lineRule="exact"/>
        <w:ind w:left="2194" w:hanging="2194"/>
        <w:rPr>
          <w:rFonts w:ascii="Arial" w:hAnsi="Arial" w:cs="Arial"/>
          <w:sz w:val="22"/>
          <w:szCs w:val="22"/>
        </w:rPr>
      </w:pPr>
      <w:r w:rsidRPr="006F66AF">
        <w:rPr>
          <w:rFonts w:ascii="Arial" w:hAnsi="Arial" w:cs="Arial"/>
          <w:b/>
          <w:sz w:val="22"/>
          <w:szCs w:val="22"/>
        </w:rPr>
        <w:t>Holiday</w:t>
      </w:r>
      <w:r>
        <w:rPr>
          <w:rFonts w:ascii="Arial" w:hAnsi="Arial" w:cs="Arial"/>
          <w:sz w:val="22"/>
          <w:szCs w:val="22"/>
        </w:rPr>
        <w:t xml:space="preserve">  </w:t>
      </w:r>
      <w:r>
        <w:rPr>
          <w:rFonts w:ascii="Arial" w:hAnsi="Arial" w:cs="Arial"/>
          <w:sz w:val="22"/>
          <w:szCs w:val="22"/>
        </w:rPr>
        <w:tab/>
        <w:t>For each full-year worked you are entitled to annual leave</w:t>
      </w:r>
      <w:r w:rsidRPr="00463AB0">
        <w:rPr>
          <w:rFonts w:ascii="Arial" w:hAnsi="Arial" w:cs="Arial"/>
          <w:sz w:val="22"/>
          <w:szCs w:val="22"/>
        </w:rPr>
        <w:t xml:space="preserve"> </w:t>
      </w:r>
      <w:r>
        <w:rPr>
          <w:rFonts w:ascii="Arial" w:hAnsi="Arial" w:cs="Arial"/>
          <w:sz w:val="22"/>
          <w:szCs w:val="22"/>
        </w:rPr>
        <w:t>dependent on your grade of pay (see table below)</w:t>
      </w:r>
      <w:r w:rsidRPr="00463AB0">
        <w:rPr>
          <w:rFonts w:ascii="Arial" w:hAnsi="Arial" w:cs="Arial"/>
          <w:sz w:val="22"/>
          <w:szCs w:val="22"/>
        </w:rPr>
        <w:t xml:space="preserve">.   </w:t>
      </w:r>
      <w:r>
        <w:rPr>
          <w:rFonts w:ascii="Arial" w:hAnsi="Arial" w:cs="Arial"/>
          <w:sz w:val="22"/>
          <w:szCs w:val="22"/>
        </w:rPr>
        <w:t xml:space="preserve">The entitlement increases </w:t>
      </w:r>
      <w:r w:rsidRPr="00EA3B23">
        <w:rPr>
          <w:rFonts w:ascii="Arial" w:hAnsi="Arial" w:cs="Arial"/>
          <w:sz w:val="22"/>
          <w:szCs w:val="22"/>
        </w:rPr>
        <w:t xml:space="preserve">after five years’ </w:t>
      </w:r>
      <w:r>
        <w:rPr>
          <w:rFonts w:ascii="Arial" w:hAnsi="Arial" w:cs="Arial"/>
          <w:sz w:val="22"/>
          <w:szCs w:val="22"/>
        </w:rPr>
        <w:t xml:space="preserve">continuous </w:t>
      </w:r>
      <w:r w:rsidRPr="00EA3B23">
        <w:rPr>
          <w:rFonts w:ascii="Arial" w:hAnsi="Arial" w:cs="Arial"/>
          <w:sz w:val="22"/>
          <w:szCs w:val="22"/>
        </w:rPr>
        <w:t>service</w:t>
      </w:r>
      <w:r>
        <w:rPr>
          <w:rFonts w:ascii="Arial" w:hAnsi="Arial" w:cs="Arial"/>
          <w:sz w:val="22"/>
          <w:szCs w:val="22"/>
        </w:rPr>
        <w:t>, pro rata for part-time staff</w:t>
      </w:r>
      <w:r w:rsidRPr="00EA3B23">
        <w:rPr>
          <w:rFonts w:ascii="Arial" w:hAnsi="Arial" w:cs="Arial"/>
          <w:sz w:val="22"/>
          <w:szCs w:val="22"/>
        </w:rPr>
        <w:t>.</w:t>
      </w:r>
      <w:r>
        <w:rPr>
          <w:rFonts w:ascii="Arial" w:hAnsi="Arial" w:cs="Arial"/>
          <w:sz w:val="22"/>
          <w:szCs w:val="22"/>
        </w:rPr>
        <w:t xml:space="preserve"> Annual leave entitlement for part-time staff and staff on shift patterns will be calculated in hours.  </w:t>
      </w:r>
      <w:r w:rsidRPr="00B9319B">
        <w:rPr>
          <w:rFonts w:ascii="Arial" w:hAnsi="Arial" w:cs="Arial"/>
          <w:sz w:val="22"/>
          <w:szCs w:val="22"/>
        </w:rPr>
        <w:t>New members of staff are entitled to annual leave proportionate to their completed calendar months of service</w:t>
      </w:r>
      <w:r>
        <w:rPr>
          <w:rFonts w:ascii="Arial" w:hAnsi="Arial" w:cs="Arial"/>
          <w:sz w:val="22"/>
          <w:szCs w:val="22"/>
        </w:rPr>
        <w:t xml:space="preserve">.  </w:t>
      </w:r>
      <w:r w:rsidRPr="00B9319B">
        <w:rPr>
          <w:rFonts w:ascii="Arial" w:hAnsi="Arial" w:cs="Arial"/>
          <w:sz w:val="22"/>
          <w:szCs w:val="22"/>
        </w:rPr>
        <w:t xml:space="preserve">In addition </w:t>
      </w:r>
      <w:r w:rsidRPr="00B9319B">
        <w:rPr>
          <w:rFonts w:ascii="Arial" w:hAnsi="Arial" w:cs="Arial"/>
          <w:sz w:val="22"/>
          <w:szCs w:val="22"/>
        </w:rPr>
        <w:lastRenderedPageBreak/>
        <w:t>to the eight Bank and Public Holidays each year, discretionary days are granted</w:t>
      </w:r>
      <w:r w:rsidR="003D0381">
        <w:rPr>
          <w:rFonts w:ascii="Arial" w:hAnsi="Arial" w:cs="Arial"/>
          <w:sz w:val="22"/>
          <w:szCs w:val="22"/>
        </w:rPr>
        <w:t xml:space="preserve"> in late December to allow the u</w:t>
      </w:r>
      <w:r w:rsidRPr="00B9319B">
        <w:rPr>
          <w:rFonts w:ascii="Arial" w:hAnsi="Arial" w:cs="Arial"/>
          <w:sz w:val="22"/>
          <w:szCs w:val="22"/>
        </w:rPr>
        <w:t>niversity to remain closed between Christmas and the New Year.</w:t>
      </w:r>
    </w:p>
    <w:p w14:paraId="113D3C09" w14:textId="4653720B" w:rsidR="006F66AF" w:rsidRDefault="006F66AF" w:rsidP="006F66AF">
      <w:pPr>
        <w:widowControl w:val="0"/>
        <w:tabs>
          <w:tab w:val="left" w:pos="360"/>
        </w:tabs>
        <w:spacing w:line="280" w:lineRule="exact"/>
        <w:ind w:left="3600" w:hanging="3600"/>
        <w:rPr>
          <w:rFonts w:ascii="Arial" w:hAnsi="Arial" w:cs="Arial"/>
          <w:sz w:val="22"/>
          <w:szCs w:val="22"/>
        </w:rPr>
      </w:pPr>
    </w:p>
    <w:tbl>
      <w:tblPr>
        <w:tblW w:w="0" w:type="auto"/>
        <w:jc w:val="righ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985"/>
        <w:gridCol w:w="1417"/>
        <w:gridCol w:w="2599"/>
      </w:tblGrid>
      <w:tr w:rsidR="006F66AF" w:rsidRPr="008A4B43" w14:paraId="690ADE11" w14:textId="77777777" w:rsidTr="006F66AF">
        <w:trPr>
          <w:jc w:val="right"/>
        </w:trPr>
        <w:tc>
          <w:tcPr>
            <w:tcW w:w="1181" w:type="dxa"/>
          </w:tcPr>
          <w:p w14:paraId="7534CD0E" w14:textId="77777777" w:rsidR="006F66AF" w:rsidRPr="008A4B43" w:rsidRDefault="006F66AF" w:rsidP="00E623FC">
            <w:pPr>
              <w:widowControl w:val="0"/>
              <w:tabs>
                <w:tab w:val="left" w:pos="360"/>
              </w:tabs>
              <w:spacing w:line="280" w:lineRule="exact"/>
              <w:ind w:left="-3174" w:firstLine="3174"/>
              <w:jc w:val="center"/>
              <w:rPr>
                <w:rFonts w:ascii="Arial" w:hAnsi="Arial" w:cs="Arial"/>
                <w:b/>
                <w:sz w:val="20"/>
              </w:rPr>
            </w:pPr>
            <w:r w:rsidRPr="008A4B43">
              <w:rPr>
                <w:rFonts w:ascii="Arial" w:eastAsia="Calibri" w:hAnsi="Arial" w:cs="Arial"/>
                <w:b/>
                <w:sz w:val="20"/>
              </w:rPr>
              <w:t>Grades</w:t>
            </w:r>
          </w:p>
        </w:tc>
        <w:tc>
          <w:tcPr>
            <w:tcW w:w="1985" w:type="dxa"/>
          </w:tcPr>
          <w:p w14:paraId="05AB7D3D"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eastAsia="Calibri" w:hAnsi="Arial" w:cs="Arial"/>
                <w:b/>
                <w:sz w:val="20"/>
              </w:rPr>
              <w:t>Basic entitlement per year</w:t>
            </w:r>
          </w:p>
        </w:tc>
        <w:tc>
          <w:tcPr>
            <w:tcW w:w="1417" w:type="dxa"/>
          </w:tcPr>
          <w:p w14:paraId="1EF036E6"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Grades</w:t>
            </w:r>
          </w:p>
        </w:tc>
        <w:tc>
          <w:tcPr>
            <w:tcW w:w="2599" w:type="dxa"/>
          </w:tcPr>
          <w:p w14:paraId="0076CFB4" w14:textId="77777777" w:rsidR="006F66AF" w:rsidRPr="008A4B43" w:rsidRDefault="006F66AF" w:rsidP="00E623FC">
            <w:pPr>
              <w:widowControl w:val="0"/>
              <w:tabs>
                <w:tab w:val="left" w:pos="360"/>
              </w:tabs>
              <w:spacing w:line="280" w:lineRule="exact"/>
              <w:jc w:val="center"/>
              <w:rPr>
                <w:rFonts w:ascii="Arial" w:hAnsi="Arial" w:cs="Arial"/>
                <w:b/>
                <w:sz w:val="20"/>
              </w:rPr>
            </w:pPr>
            <w:r w:rsidRPr="008A4B43">
              <w:rPr>
                <w:rFonts w:ascii="Arial" w:hAnsi="Arial" w:cs="Arial"/>
                <w:b/>
                <w:sz w:val="20"/>
              </w:rPr>
              <w:t>Basic entitlement after 5 years’ service</w:t>
            </w:r>
          </w:p>
        </w:tc>
      </w:tr>
      <w:tr w:rsidR="006F66AF" w:rsidRPr="008A4B43" w14:paraId="4EBDE6CC" w14:textId="77777777" w:rsidTr="006F66AF">
        <w:trPr>
          <w:jc w:val="right"/>
        </w:trPr>
        <w:tc>
          <w:tcPr>
            <w:tcW w:w="1181" w:type="dxa"/>
          </w:tcPr>
          <w:p w14:paraId="60F61C6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1985" w:type="dxa"/>
          </w:tcPr>
          <w:p w14:paraId="5CAD5644"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23 days</w:t>
            </w:r>
          </w:p>
        </w:tc>
        <w:tc>
          <w:tcPr>
            <w:tcW w:w="1417" w:type="dxa"/>
          </w:tcPr>
          <w:p w14:paraId="00D35249"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1-3</w:t>
            </w:r>
          </w:p>
        </w:tc>
        <w:tc>
          <w:tcPr>
            <w:tcW w:w="2599" w:type="dxa"/>
          </w:tcPr>
          <w:p w14:paraId="46087D5B"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28 days</w:t>
            </w:r>
          </w:p>
        </w:tc>
      </w:tr>
      <w:tr w:rsidR="006F66AF" w:rsidRPr="008A4B43" w14:paraId="3B3E8D45" w14:textId="77777777" w:rsidTr="006F66AF">
        <w:trPr>
          <w:jc w:val="right"/>
        </w:trPr>
        <w:tc>
          <w:tcPr>
            <w:tcW w:w="1181" w:type="dxa"/>
          </w:tcPr>
          <w:p w14:paraId="664C0423"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1985" w:type="dxa"/>
          </w:tcPr>
          <w:p w14:paraId="0D479F5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25 days</w:t>
            </w:r>
          </w:p>
        </w:tc>
        <w:tc>
          <w:tcPr>
            <w:tcW w:w="1417" w:type="dxa"/>
          </w:tcPr>
          <w:p w14:paraId="0FB974CD"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4-7</w:t>
            </w:r>
          </w:p>
        </w:tc>
        <w:tc>
          <w:tcPr>
            <w:tcW w:w="2599" w:type="dxa"/>
          </w:tcPr>
          <w:p w14:paraId="58C290EC"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r w:rsidR="006F66AF" w:rsidRPr="008A4B43" w14:paraId="19154910" w14:textId="77777777" w:rsidTr="006F66AF">
        <w:trPr>
          <w:jc w:val="right"/>
        </w:trPr>
        <w:tc>
          <w:tcPr>
            <w:tcW w:w="1181" w:type="dxa"/>
          </w:tcPr>
          <w:p w14:paraId="69BE5A3E"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1985" w:type="dxa"/>
          </w:tcPr>
          <w:p w14:paraId="4698F5FB" w14:textId="77777777" w:rsidR="006F66AF" w:rsidRPr="008A4B43" w:rsidRDefault="006F66AF" w:rsidP="006F66AF">
            <w:pPr>
              <w:widowControl w:val="0"/>
              <w:tabs>
                <w:tab w:val="left" w:pos="360"/>
              </w:tabs>
              <w:spacing w:line="280" w:lineRule="exact"/>
              <w:jc w:val="center"/>
              <w:rPr>
                <w:rFonts w:ascii="Arial" w:hAnsi="Arial" w:cs="Arial"/>
                <w:sz w:val="20"/>
              </w:rPr>
            </w:pPr>
            <w:r>
              <w:rPr>
                <w:rFonts w:ascii="Arial" w:hAnsi="Arial" w:cs="Arial"/>
                <w:sz w:val="20"/>
              </w:rPr>
              <w:t>27</w:t>
            </w:r>
            <w:r w:rsidRPr="008A4B43">
              <w:rPr>
                <w:rFonts w:ascii="Arial" w:hAnsi="Arial" w:cs="Arial"/>
                <w:sz w:val="20"/>
              </w:rPr>
              <w:t xml:space="preserve"> days</w:t>
            </w:r>
          </w:p>
        </w:tc>
        <w:tc>
          <w:tcPr>
            <w:tcW w:w="1417" w:type="dxa"/>
          </w:tcPr>
          <w:p w14:paraId="752188E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8-9</w:t>
            </w:r>
          </w:p>
        </w:tc>
        <w:tc>
          <w:tcPr>
            <w:tcW w:w="2599" w:type="dxa"/>
          </w:tcPr>
          <w:p w14:paraId="228D12C1" w14:textId="77777777" w:rsidR="006F66AF" w:rsidRPr="008A4B43" w:rsidRDefault="006F66AF" w:rsidP="006F66AF">
            <w:pPr>
              <w:widowControl w:val="0"/>
              <w:tabs>
                <w:tab w:val="left" w:pos="360"/>
              </w:tabs>
              <w:spacing w:line="280" w:lineRule="exact"/>
              <w:jc w:val="center"/>
              <w:rPr>
                <w:rFonts w:ascii="Arial" w:hAnsi="Arial" w:cs="Arial"/>
                <w:sz w:val="20"/>
              </w:rPr>
            </w:pPr>
            <w:r w:rsidRPr="008A4B43">
              <w:rPr>
                <w:rFonts w:ascii="Arial" w:hAnsi="Arial" w:cs="Arial"/>
                <w:sz w:val="20"/>
              </w:rPr>
              <w:t>30 days</w:t>
            </w:r>
          </w:p>
        </w:tc>
      </w:tr>
    </w:tbl>
    <w:p w14:paraId="77DCA113" w14:textId="77777777" w:rsidR="00801C0D" w:rsidRPr="00B9319B" w:rsidRDefault="00801C0D" w:rsidP="00801C0D">
      <w:pPr>
        <w:widowControl w:val="0"/>
        <w:tabs>
          <w:tab w:val="left" w:pos="2736"/>
        </w:tabs>
        <w:ind w:left="2196" w:hanging="2196"/>
        <w:rPr>
          <w:rFonts w:ascii="Arial" w:hAnsi="Arial" w:cs="Arial"/>
          <w:b/>
          <w:sz w:val="22"/>
          <w:szCs w:val="22"/>
        </w:rPr>
      </w:pPr>
    </w:p>
    <w:p w14:paraId="77DCA123" w14:textId="77777777" w:rsidR="00801C0D" w:rsidRPr="00B9319B" w:rsidRDefault="00801C0D" w:rsidP="00801C0D">
      <w:pPr>
        <w:widowControl w:val="0"/>
        <w:tabs>
          <w:tab w:val="left" w:pos="2736"/>
        </w:tabs>
        <w:ind w:left="2196" w:hanging="2196"/>
        <w:rPr>
          <w:rFonts w:ascii="Arial" w:hAnsi="Arial" w:cs="Arial"/>
          <w:sz w:val="22"/>
          <w:szCs w:val="22"/>
        </w:rPr>
      </w:pPr>
    </w:p>
    <w:p w14:paraId="77DCA124" w14:textId="77777777" w:rsidR="00801C0D" w:rsidRPr="00B9319B" w:rsidRDefault="00801C0D" w:rsidP="00801C0D">
      <w:pPr>
        <w:widowControl w:val="0"/>
        <w:ind w:left="2196" w:hanging="2196"/>
        <w:rPr>
          <w:rFonts w:ascii="Arial" w:hAnsi="Arial" w:cs="Arial"/>
          <w:sz w:val="22"/>
          <w:szCs w:val="22"/>
        </w:rPr>
      </w:pPr>
      <w:r w:rsidRPr="00B9319B">
        <w:rPr>
          <w:rFonts w:ascii="Arial" w:hAnsi="Arial" w:cs="Arial"/>
          <w:b/>
          <w:sz w:val="22"/>
          <w:szCs w:val="22"/>
        </w:rPr>
        <w:t>Terms &amp; conditions</w:t>
      </w:r>
      <w:r w:rsidRPr="00B9319B">
        <w:rPr>
          <w:rFonts w:ascii="Arial" w:hAnsi="Arial" w:cs="Arial"/>
          <w:b/>
          <w:sz w:val="22"/>
          <w:szCs w:val="22"/>
        </w:rPr>
        <w:tab/>
      </w:r>
      <w:proofErr w:type="gramStart"/>
      <w:r w:rsidRPr="00B9319B">
        <w:rPr>
          <w:rFonts w:ascii="Arial" w:hAnsi="Arial" w:cs="Arial"/>
          <w:sz w:val="22"/>
          <w:szCs w:val="22"/>
        </w:rPr>
        <w:t>In</w:t>
      </w:r>
      <w:proofErr w:type="gramEnd"/>
      <w:r w:rsidRPr="00B9319B">
        <w:rPr>
          <w:rFonts w:ascii="Arial" w:hAnsi="Arial" w:cs="Arial"/>
          <w:sz w:val="22"/>
          <w:szCs w:val="22"/>
        </w:rPr>
        <w:t xml:space="preserve"> determining terms and conditions of employment, the university has regard to recommendations made through the appropriate national negotiating framework.  These terms and conditions of service can be varied by local agreements reached through the university’s local negotiating framework which comprises a Joint Negotiating Committee supported by two Common Interest Groups.  These groups bring together representatives of the university and its recognised trade unions, which are:</w:t>
      </w:r>
    </w:p>
    <w:p w14:paraId="77DCA125" w14:textId="77777777" w:rsidR="00801C0D" w:rsidRPr="00B9319B" w:rsidRDefault="00801C0D" w:rsidP="00801C0D">
      <w:pPr>
        <w:widowControl w:val="0"/>
        <w:ind w:left="2196" w:hanging="2196"/>
        <w:rPr>
          <w:rFonts w:ascii="Arial" w:hAnsi="Arial" w:cs="Arial"/>
          <w:sz w:val="22"/>
          <w:szCs w:val="22"/>
        </w:rPr>
      </w:pPr>
    </w:p>
    <w:p w14:paraId="77DCA126"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r>
      <w:smartTag w:uri="urn:schemas-microsoft-com:office:smarttags" w:element="PlaceName">
        <w:r w:rsidRPr="00B9319B">
          <w:rPr>
            <w:rFonts w:ascii="Arial" w:hAnsi="Arial" w:cs="Arial"/>
            <w:sz w:val="22"/>
            <w:szCs w:val="22"/>
          </w:rPr>
          <w:t>UCU</w:t>
        </w:r>
      </w:smartTag>
      <w:r w:rsidRPr="00B9319B">
        <w:rPr>
          <w:rFonts w:ascii="Arial" w:hAnsi="Arial" w:cs="Arial"/>
          <w:sz w:val="22"/>
          <w:szCs w:val="22"/>
        </w:rPr>
        <w:t xml:space="preserve"> </w:t>
      </w:r>
      <w:smartTag w:uri="urn:schemas-microsoft-com:office:smarttags" w:element="PlaceType">
        <w:r w:rsidRPr="00B9319B">
          <w:rPr>
            <w:rFonts w:ascii="Arial" w:hAnsi="Arial" w:cs="Arial"/>
            <w:sz w:val="22"/>
            <w:szCs w:val="22"/>
          </w:rPr>
          <w:t>University</w:t>
        </w:r>
      </w:smartTag>
      <w:r w:rsidRPr="00B9319B">
        <w:rPr>
          <w:rFonts w:ascii="Arial" w:hAnsi="Arial" w:cs="Arial"/>
          <w:sz w:val="22"/>
          <w:szCs w:val="22"/>
        </w:rPr>
        <w:t xml:space="preserve"> and Colleges </w:t>
      </w:r>
      <w:smartTag w:uri="urn:schemas-microsoft-com:office:smarttags" w:element="place">
        <w:r w:rsidRPr="00B9319B">
          <w:rPr>
            <w:rFonts w:ascii="Arial" w:hAnsi="Arial" w:cs="Arial"/>
            <w:sz w:val="22"/>
            <w:szCs w:val="22"/>
          </w:rPr>
          <w:t>Union</w:t>
        </w:r>
      </w:smartTag>
    </w:p>
    <w:p w14:paraId="77DCA127" w14:textId="77777777" w:rsidR="00801C0D" w:rsidRPr="00B9319B" w:rsidRDefault="00801C0D" w:rsidP="00801C0D">
      <w:pPr>
        <w:widowControl w:val="0"/>
        <w:tabs>
          <w:tab w:val="left" w:pos="2316"/>
        </w:tabs>
        <w:ind w:left="2616" w:hanging="2616"/>
        <w:rPr>
          <w:rFonts w:ascii="Arial" w:hAnsi="Arial" w:cs="Arial"/>
          <w:sz w:val="22"/>
          <w:szCs w:val="22"/>
        </w:rPr>
      </w:pPr>
      <w:r w:rsidRPr="00B9319B">
        <w:rPr>
          <w:rFonts w:ascii="Arial" w:hAnsi="Arial" w:cs="Arial"/>
          <w:sz w:val="22"/>
          <w:szCs w:val="22"/>
        </w:rPr>
        <w:tab/>
        <w:t>•</w:t>
      </w:r>
      <w:r w:rsidRPr="00B9319B">
        <w:rPr>
          <w:rFonts w:ascii="Arial" w:hAnsi="Arial" w:cs="Arial"/>
          <w:sz w:val="22"/>
          <w:szCs w:val="22"/>
        </w:rPr>
        <w:tab/>
        <w:t>UNISON</w:t>
      </w:r>
    </w:p>
    <w:p w14:paraId="77DCA128" w14:textId="77777777" w:rsidR="00801C0D" w:rsidRPr="00B9319B" w:rsidRDefault="00801C0D" w:rsidP="00801C0D">
      <w:pPr>
        <w:widowControl w:val="0"/>
        <w:tabs>
          <w:tab w:val="left" w:pos="2316"/>
        </w:tabs>
        <w:ind w:left="2616" w:hanging="2616"/>
        <w:rPr>
          <w:rFonts w:ascii="Arial" w:hAnsi="Arial" w:cs="Arial"/>
          <w:sz w:val="22"/>
          <w:szCs w:val="22"/>
        </w:rPr>
      </w:pPr>
    </w:p>
    <w:p w14:paraId="77DCA129" w14:textId="42E2902C" w:rsidR="00801C0D" w:rsidRPr="00B9319B" w:rsidRDefault="00C65930"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r>
        <w:rPr>
          <w:rFonts w:ascii="Arial" w:hAnsi="Arial" w:cs="Arial"/>
          <w:b/>
          <w:sz w:val="22"/>
          <w:szCs w:val="22"/>
        </w:rPr>
        <w:t>Strategic</w:t>
      </w:r>
      <w:r w:rsidR="00801C0D" w:rsidRPr="00B9319B">
        <w:rPr>
          <w:rFonts w:ascii="Arial" w:hAnsi="Arial" w:cs="Arial"/>
          <w:b/>
          <w:sz w:val="22"/>
          <w:szCs w:val="22"/>
        </w:rPr>
        <w:t xml:space="preserve"> plan</w:t>
      </w:r>
      <w:r w:rsidR="00801C0D" w:rsidRPr="00B9319B">
        <w:rPr>
          <w:rFonts w:ascii="Arial" w:hAnsi="Arial" w:cs="Arial"/>
          <w:sz w:val="22"/>
          <w:szCs w:val="22"/>
        </w:rPr>
        <w:tab/>
      </w:r>
      <w:r w:rsidR="00801C0D" w:rsidRPr="00B9319B">
        <w:rPr>
          <w:rFonts w:ascii="Arial" w:hAnsi="Arial" w:cs="Arial"/>
          <w:sz w:val="22"/>
          <w:szCs w:val="22"/>
        </w:rPr>
        <w:tab/>
        <w:t xml:space="preserve">Details of our </w:t>
      </w:r>
      <w:r>
        <w:rPr>
          <w:rFonts w:ascii="Arial" w:hAnsi="Arial" w:cs="Arial"/>
          <w:sz w:val="22"/>
          <w:szCs w:val="22"/>
        </w:rPr>
        <w:t>Strategic</w:t>
      </w:r>
      <w:r w:rsidR="00801C0D" w:rsidRPr="00B9319B">
        <w:rPr>
          <w:rFonts w:ascii="Arial" w:hAnsi="Arial" w:cs="Arial"/>
          <w:sz w:val="22"/>
          <w:szCs w:val="22"/>
        </w:rPr>
        <w:t xml:space="preserve"> Plan can be found at:</w:t>
      </w:r>
    </w:p>
    <w:p w14:paraId="5702138A" w14:textId="0CB2D7D8" w:rsidR="00C65930" w:rsidRPr="00C65930" w:rsidRDefault="00801C0D" w:rsidP="00C65930">
      <w:pPr>
        <w:ind w:left="2127"/>
        <w:rPr>
          <w:rFonts w:ascii="Arial" w:hAnsi="Arial" w:cs="Arial"/>
          <w:sz w:val="22"/>
          <w:szCs w:val="22"/>
        </w:rPr>
      </w:pPr>
      <w:r w:rsidRPr="00B9319B">
        <w:rPr>
          <w:rFonts w:ascii="Arial" w:hAnsi="Arial" w:cs="Arial"/>
          <w:sz w:val="22"/>
          <w:szCs w:val="22"/>
        </w:rPr>
        <w:tab/>
      </w:r>
      <w:r w:rsidRPr="00B9319B">
        <w:rPr>
          <w:rFonts w:ascii="Arial" w:hAnsi="Arial" w:cs="Arial"/>
          <w:sz w:val="22"/>
          <w:szCs w:val="22"/>
        </w:rPr>
        <w:tab/>
      </w:r>
      <w:r w:rsidR="00C65930">
        <w:rPr>
          <w:rFonts w:ascii="Arial" w:hAnsi="Arial" w:cs="Arial"/>
          <w:sz w:val="22"/>
          <w:szCs w:val="22"/>
        </w:rPr>
        <w:tab/>
      </w:r>
      <w:r w:rsidR="00C65930">
        <w:rPr>
          <w:rFonts w:ascii="Arial" w:hAnsi="Arial" w:cs="Arial"/>
          <w:sz w:val="22"/>
          <w:szCs w:val="22"/>
        </w:rPr>
        <w:tab/>
      </w:r>
      <w:hyperlink r:id="rId8" w:history="1">
        <w:r w:rsidR="00C65930" w:rsidRPr="00C65930">
          <w:rPr>
            <w:rStyle w:val="Hyperlink"/>
            <w:rFonts w:ascii="Arial" w:hAnsi="Arial" w:cs="Arial"/>
            <w:sz w:val="22"/>
            <w:szCs w:val="22"/>
          </w:rPr>
          <w:t>http://staffcentral.brighton.ac.uk/xpedio/groups/Public/documents/staffcentral/doc013747.pdf</w:t>
        </w:r>
      </w:hyperlink>
    </w:p>
    <w:p w14:paraId="77DCA12A" w14:textId="24010AA5" w:rsidR="00801C0D" w:rsidRPr="00B9319B" w:rsidRDefault="00801C0D" w:rsidP="00801C0D">
      <w:pPr>
        <w:pStyle w:val="4MainText"/>
        <w:widowControl w:val="0"/>
        <w:tabs>
          <w:tab w:val="clear" w:pos="2722"/>
          <w:tab w:val="left" w:pos="2240"/>
          <w:tab w:val="left" w:pos="5120"/>
          <w:tab w:val="left" w:pos="6840"/>
        </w:tabs>
        <w:spacing w:line="240" w:lineRule="auto"/>
        <w:ind w:left="2194" w:hanging="2194"/>
        <w:rPr>
          <w:rFonts w:ascii="Arial" w:hAnsi="Arial" w:cs="Arial"/>
          <w:sz w:val="22"/>
          <w:szCs w:val="22"/>
        </w:rPr>
      </w:pPr>
    </w:p>
    <w:p w14:paraId="77DCA12B" w14:textId="77777777" w:rsidR="00801C0D" w:rsidRPr="00B9319B" w:rsidRDefault="00801C0D" w:rsidP="00801C0D">
      <w:pPr>
        <w:widowControl w:val="0"/>
        <w:rPr>
          <w:rFonts w:ascii="Arial" w:hAnsi="Arial" w:cs="Arial"/>
          <w:b/>
          <w:sz w:val="22"/>
          <w:szCs w:val="22"/>
        </w:rPr>
      </w:pPr>
    </w:p>
    <w:p w14:paraId="77DCA13F" w14:textId="77777777" w:rsidR="00801C0D" w:rsidRPr="00B9319B" w:rsidRDefault="00801C0D" w:rsidP="00801C0D">
      <w:pPr>
        <w:widowControl w:val="0"/>
        <w:tabs>
          <w:tab w:val="left" w:pos="2960"/>
        </w:tabs>
        <w:ind w:left="20"/>
        <w:rPr>
          <w:rFonts w:ascii="Arial" w:hAnsi="Arial" w:cs="Arial"/>
          <w:sz w:val="22"/>
          <w:szCs w:val="22"/>
        </w:rPr>
      </w:pPr>
    </w:p>
    <w:p w14:paraId="77DCA141" w14:textId="77777777" w:rsidR="00801C0D" w:rsidRDefault="00801C0D" w:rsidP="00801C0D"/>
    <w:p w14:paraId="2FB0E81B" w14:textId="3B843A36" w:rsidR="00CB7AD6" w:rsidRDefault="00CB7AD6" w:rsidP="00801C0D"/>
    <w:p w14:paraId="3036A5D2" w14:textId="77777777" w:rsidR="00CB7AD6" w:rsidRDefault="00CB7AD6" w:rsidP="00801C0D"/>
    <w:p w14:paraId="662D46BA" w14:textId="77777777" w:rsidR="00CB7AD6" w:rsidRDefault="00CB7AD6" w:rsidP="00801C0D"/>
    <w:p w14:paraId="2E8DA738" w14:textId="77777777" w:rsidR="00CB7AD6" w:rsidRDefault="00CB7AD6" w:rsidP="00801C0D"/>
    <w:p w14:paraId="3317083F" w14:textId="77777777" w:rsidR="00CB7AD6" w:rsidRDefault="00CB7AD6" w:rsidP="00801C0D"/>
    <w:p w14:paraId="6E14177C" w14:textId="77777777" w:rsidR="00CB7AD6" w:rsidRDefault="00CB7AD6" w:rsidP="00801C0D"/>
    <w:p w14:paraId="4C1C6B0B" w14:textId="77777777" w:rsidR="00CB7AD6" w:rsidRDefault="00CB7AD6" w:rsidP="00801C0D"/>
    <w:p w14:paraId="37AF7F6B" w14:textId="77777777" w:rsidR="00CB7AD6" w:rsidRDefault="00CB7AD6" w:rsidP="00801C0D"/>
    <w:p w14:paraId="35C6834D" w14:textId="77777777" w:rsidR="00CB7AD6" w:rsidRDefault="00CB7AD6" w:rsidP="00801C0D"/>
    <w:p w14:paraId="17E043A5" w14:textId="77777777" w:rsidR="00CB7AD6" w:rsidRDefault="00CB7AD6" w:rsidP="00801C0D"/>
    <w:p w14:paraId="678596E4" w14:textId="77777777" w:rsidR="00CB7AD6" w:rsidRDefault="00CB7AD6" w:rsidP="00801C0D"/>
    <w:p w14:paraId="2933DB3C" w14:textId="77777777" w:rsidR="00CB7AD6" w:rsidRDefault="00CB7AD6" w:rsidP="00801C0D"/>
    <w:p w14:paraId="72B95D04" w14:textId="77777777" w:rsidR="00CB7AD6" w:rsidRDefault="00CB7AD6" w:rsidP="00801C0D"/>
    <w:sectPr w:rsidR="00CB7AD6" w:rsidSect="00715421">
      <w:pgSz w:w="11909" w:h="16834" w:code="9"/>
      <w:pgMar w:top="1440" w:right="1310" w:bottom="1151" w:left="1304" w:header="709" w:footer="709" w:gutter="0"/>
      <w:paperSrc w:first="261" w:other="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0D"/>
    <w:rsid w:val="000D5F66"/>
    <w:rsid w:val="000E37B1"/>
    <w:rsid w:val="002817CB"/>
    <w:rsid w:val="002E5ACD"/>
    <w:rsid w:val="00363BB0"/>
    <w:rsid w:val="0039054B"/>
    <w:rsid w:val="003D0381"/>
    <w:rsid w:val="00590C03"/>
    <w:rsid w:val="00595482"/>
    <w:rsid w:val="005C24CA"/>
    <w:rsid w:val="006F66AF"/>
    <w:rsid w:val="00801C0D"/>
    <w:rsid w:val="008B110B"/>
    <w:rsid w:val="008E5450"/>
    <w:rsid w:val="00923CE9"/>
    <w:rsid w:val="00B0444E"/>
    <w:rsid w:val="00BE1FA2"/>
    <w:rsid w:val="00C4161E"/>
    <w:rsid w:val="00C42D51"/>
    <w:rsid w:val="00C65930"/>
    <w:rsid w:val="00CB7AD6"/>
    <w:rsid w:val="00D5263B"/>
    <w:rsid w:val="00D8564E"/>
    <w:rsid w:val="00F447FB"/>
    <w:rsid w:val="00FD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7DC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C0D"/>
    <w:pPr>
      <w:spacing w:after="0" w:line="240" w:lineRule="auto"/>
    </w:pPr>
    <w:rPr>
      <w:rFonts w:ascii="New York" w:eastAsia="Times New Roman" w:hAnsi="New York" w:cs="Times New Roman"/>
      <w:sz w:val="24"/>
      <w:szCs w:val="20"/>
      <w:lang w:eastAsia="en-GB"/>
    </w:rPr>
  </w:style>
  <w:style w:type="paragraph" w:styleId="Heading1">
    <w:name w:val="heading 1"/>
    <w:basedOn w:val="Normal"/>
    <w:next w:val="Normal"/>
    <w:link w:val="Heading1Char"/>
    <w:qFormat/>
    <w:rsid w:val="00801C0D"/>
    <w:pPr>
      <w:keepNext/>
      <w:outlineLvl w:val="0"/>
    </w:pPr>
    <w:rPr>
      <w:rFonts w:ascii="Times New Roman" w:hAnsi="Times New Roman"/>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C0D"/>
    <w:rPr>
      <w:rFonts w:ascii="Times New Roman" w:eastAsia="Times New Roman" w:hAnsi="Times New Roman" w:cs="Times New Roman"/>
      <w:b/>
      <w:sz w:val="24"/>
      <w:szCs w:val="20"/>
      <w:u w:val="single"/>
      <w:lang w:val="en-US" w:eastAsia="en-GB"/>
    </w:rPr>
  </w:style>
  <w:style w:type="paragraph" w:customStyle="1" w:styleId="4MainText">
    <w:name w:val="4 Main Text"/>
    <w:basedOn w:val="Normal"/>
    <w:rsid w:val="00801C0D"/>
    <w:pPr>
      <w:tabs>
        <w:tab w:val="right" w:pos="1701"/>
        <w:tab w:val="left" w:pos="2722"/>
      </w:tabs>
      <w:spacing w:line="280" w:lineRule="exact"/>
      <w:ind w:left="2260" w:hanging="2240"/>
    </w:pPr>
    <w:rPr>
      <w:rFonts w:ascii="Palatino" w:hAnsi="Palatino"/>
      <w:sz w:val="20"/>
    </w:rPr>
  </w:style>
  <w:style w:type="paragraph" w:styleId="BodyTextIndent">
    <w:name w:val="Body Text Indent"/>
    <w:basedOn w:val="Normal"/>
    <w:link w:val="BodyTextIndentChar"/>
    <w:rsid w:val="00801C0D"/>
    <w:pPr>
      <w:widowControl w:val="0"/>
      <w:tabs>
        <w:tab w:val="left" w:pos="2736"/>
      </w:tabs>
      <w:ind w:left="2196" w:hanging="2196"/>
    </w:pPr>
    <w:rPr>
      <w:rFonts w:ascii="Helvetica" w:hAnsi="Helvetica"/>
      <w:b/>
      <w:sz w:val="18"/>
    </w:rPr>
  </w:style>
  <w:style w:type="character" w:customStyle="1" w:styleId="BodyTextIndentChar">
    <w:name w:val="Body Text Indent Char"/>
    <w:basedOn w:val="DefaultParagraphFont"/>
    <w:link w:val="BodyTextIndent"/>
    <w:rsid w:val="00801C0D"/>
    <w:rPr>
      <w:rFonts w:ascii="Helvetica" w:eastAsia="Times New Roman" w:hAnsi="Helvetica" w:cs="Times New Roman"/>
      <w:b/>
      <w:sz w:val="18"/>
      <w:szCs w:val="20"/>
      <w:lang w:eastAsia="en-GB"/>
    </w:rPr>
  </w:style>
  <w:style w:type="character" w:styleId="Hyperlink">
    <w:name w:val="Hyperlink"/>
    <w:uiPriority w:val="99"/>
    <w:rsid w:val="00801C0D"/>
    <w:rPr>
      <w:color w:val="0000FF"/>
      <w:u w:val="single"/>
    </w:rPr>
  </w:style>
  <w:style w:type="character" w:styleId="FollowedHyperlink">
    <w:name w:val="FollowedHyperlink"/>
    <w:basedOn w:val="DefaultParagraphFont"/>
    <w:uiPriority w:val="99"/>
    <w:semiHidden/>
    <w:unhideWhenUsed/>
    <w:rsid w:val="00C65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307">
      <w:bodyDiv w:val="1"/>
      <w:marLeft w:val="0"/>
      <w:marRight w:val="0"/>
      <w:marTop w:val="0"/>
      <w:marBottom w:val="0"/>
      <w:divBdr>
        <w:top w:val="none" w:sz="0" w:space="0" w:color="auto"/>
        <w:left w:val="none" w:sz="0" w:space="0" w:color="auto"/>
        <w:bottom w:val="none" w:sz="0" w:space="0" w:color="auto"/>
        <w:right w:val="none" w:sz="0" w:space="0" w:color="auto"/>
      </w:divBdr>
    </w:div>
    <w:div w:id="391083872">
      <w:bodyDiv w:val="1"/>
      <w:marLeft w:val="0"/>
      <w:marRight w:val="0"/>
      <w:marTop w:val="0"/>
      <w:marBottom w:val="0"/>
      <w:divBdr>
        <w:top w:val="none" w:sz="0" w:space="0" w:color="auto"/>
        <w:left w:val="none" w:sz="0" w:space="0" w:color="auto"/>
        <w:bottom w:val="none" w:sz="0" w:space="0" w:color="auto"/>
        <w:right w:val="none" w:sz="0" w:space="0" w:color="auto"/>
      </w:divBdr>
    </w:div>
    <w:div w:id="424035044">
      <w:bodyDiv w:val="1"/>
      <w:marLeft w:val="0"/>
      <w:marRight w:val="0"/>
      <w:marTop w:val="0"/>
      <w:marBottom w:val="0"/>
      <w:divBdr>
        <w:top w:val="none" w:sz="0" w:space="0" w:color="auto"/>
        <w:left w:val="none" w:sz="0" w:space="0" w:color="auto"/>
        <w:bottom w:val="none" w:sz="0" w:space="0" w:color="auto"/>
        <w:right w:val="none" w:sz="0" w:space="0" w:color="auto"/>
      </w:divBdr>
    </w:div>
    <w:div w:id="1054353296">
      <w:bodyDiv w:val="1"/>
      <w:marLeft w:val="0"/>
      <w:marRight w:val="0"/>
      <w:marTop w:val="0"/>
      <w:marBottom w:val="0"/>
      <w:divBdr>
        <w:top w:val="none" w:sz="0" w:space="0" w:color="auto"/>
        <w:left w:val="none" w:sz="0" w:space="0" w:color="auto"/>
        <w:bottom w:val="none" w:sz="0" w:space="0" w:color="auto"/>
        <w:right w:val="none" w:sz="0" w:space="0" w:color="auto"/>
      </w:divBdr>
    </w:div>
    <w:div w:id="1161576213">
      <w:bodyDiv w:val="1"/>
      <w:marLeft w:val="0"/>
      <w:marRight w:val="0"/>
      <w:marTop w:val="0"/>
      <w:marBottom w:val="0"/>
      <w:divBdr>
        <w:top w:val="none" w:sz="0" w:space="0" w:color="auto"/>
        <w:left w:val="none" w:sz="0" w:space="0" w:color="auto"/>
        <w:bottom w:val="none" w:sz="0" w:space="0" w:color="auto"/>
        <w:right w:val="none" w:sz="0" w:space="0" w:color="auto"/>
      </w:divBdr>
    </w:div>
    <w:div w:id="1752968185">
      <w:bodyDiv w:val="1"/>
      <w:marLeft w:val="0"/>
      <w:marRight w:val="0"/>
      <w:marTop w:val="0"/>
      <w:marBottom w:val="0"/>
      <w:divBdr>
        <w:top w:val="none" w:sz="0" w:space="0" w:color="auto"/>
        <w:left w:val="none" w:sz="0" w:space="0" w:color="auto"/>
        <w:bottom w:val="none" w:sz="0" w:space="0" w:color="auto"/>
        <w:right w:val="none" w:sz="0" w:space="0" w:color="auto"/>
      </w:divBdr>
    </w:div>
    <w:div w:id="17774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central.brighton.ac.uk/xpedio/groups/Public/documents/staffcentral/doc01374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60922-BC5A-42D6-B058-0AD88A580605}">
  <ds:schemaRefs>
    <ds:schemaRef ds:uri="http://schemas.microsoft.com/sharepoint/v3/contenttype/forms"/>
  </ds:schemaRefs>
</ds:datastoreItem>
</file>

<file path=customXml/itemProps2.xml><?xml version="1.0" encoding="utf-8"?>
<ds:datastoreItem xmlns:ds="http://schemas.openxmlformats.org/officeDocument/2006/customXml" ds:itemID="{77BB845D-B0E7-4A65-B269-4AA468037791}">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CA7650F-BB6B-4D9A-A651-80ACAF2A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Walsh</dc:creator>
  <cp:lastModifiedBy>Gemma Tomsett</cp:lastModifiedBy>
  <cp:revision>2</cp:revision>
  <dcterms:created xsi:type="dcterms:W3CDTF">2015-12-18T15:18:00Z</dcterms:created>
  <dcterms:modified xsi:type="dcterms:W3CDTF">2015-12-18T15:18:00Z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URL">
    <vt:lpwstr/>
  </property>
</Properties>
</file>