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4BFBF" w14:textId="15BF54E4" w:rsidR="002E5D71" w:rsidRDefault="008016F9" w:rsidP="002E5D71">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2">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3">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Pr="00C7770F" w:rsidRDefault="00707C7F" w:rsidP="002E5D71">
      <w:pPr>
        <w:spacing w:after="0"/>
        <w:jc w:val="both"/>
        <w:rPr>
          <w:rFonts w:ascii="Arial" w:hAnsi="Arial" w:cs="Arial"/>
          <w:b/>
          <w:color w:val="FF0000"/>
        </w:rPr>
      </w:pPr>
    </w:p>
    <w:p w14:paraId="37F7A4CF" w14:textId="1D0142C9" w:rsidR="0043279C" w:rsidRPr="005E1A53" w:rsidRDefault="0005761B" w:rsidP="002E5D71">
      <w:pPr>
        <w:spacing w:after="0"/>
        <w:jc w:val="both"/>
        <w:rPr>
          <w:rFonts w:ascii="Arial" w:hAnsi="Arial" w:cs="Arial"/>
          <w:b/>
        </w:rPr>
      </w:pPr>
      <w:r w:rsidRPr="005E1A53">
        <w:rPr>
          <w:rFonts w:ascii="Arial" w:hAnsi="Arial" w:cs="Arial"/>
          <w:b/>
        </w:rPr>
        <w:t>L</w:t>
      </w:r>
      <w:r w:rsidR="00515268">
        <w:rPr>
          <w:rFonts w:ascii="Arial" w:hAnsi="Arial" w:cs="Arial"/>
          <w:b/>
        </w:rPr>
        <w:t xml:space="preserve">ecturer in Moving Image </w:t>
      </w:r>
      <w:r w:rsidRPr="005E1A53">
        <w:rPr>
          <w:rFonts w:ascii="Arial" w:hAnsi="Arial" w:cs="Arial"/>
          <w:b/>
        </w:rPr>
        <w:t>(0.5</w:t>
      </w:r>
      <w:r w:rsidR="00CD3832">
        <w:rPr>
          <w:rFonts w:ascii="Arial" w:hAnsi="Arial" w:cs="Arial"/>
          <w:b/>
        </w:rPr>
        <w:t xml:space="preserve"> full-time equivalent</w:t>
      </w:r>
      <w:r w:rsidR="00DE22AF" w:rsidRPr="005E1A53">
        <w:rPr>
          <w:rFonts w:ascii="Arial" w:hAnsi="Arial" w:cs="Arial"/>
          <w:b/>
        </w:rPr>
        <w:t>)</w:t>
      </w:r>
      <w:r w:rsidRPr="005E1A53">
        <w:rPr>
          <w:rFonts w:ascii="Arial" w:hAnsi="Arial" w:cs="Arial"/>
          <w:b/>
        </w:rPr>
        <w:t xml:space="preserve"> </w:t>
      </w:r>
    </w:p>
    <w:p w14:paraId="543F3D26" w14:textId="77777777" w:rsidR="0043279C" w:rsidRDefault="0043279C" w:rsidP="002E5D71">
      <w:pPr>
        <w:spacing w:after="0"/>
        <w:jc w:val="both"/>
        <w:rPr>
          <w:rFonts w:ascii="Arial" w:hAnsi="Arial" w:cs="Arial"/>
          <w:b/>
        </w:rPr>
      </w:pPr>
    </w:p>
    <w:p w14:paraId="3F4844BB" w14:textId="2245E9EB" w:rsidR="0043279C" w:rsidRPr="005E1A53" w:rsidRDefault="0043279C" w:rsidP="0043279C">
      <w:pPr>
        <w:widowControl w:val="0"/>
        <w:jc w:val="both"/>
        <w:rPr>
          <w:rFonts w:ascii="Arial" w:hAnsi="Arial" w:cs="Arial"/>
          <w:b/>
        </w:rPr>
      </w:pPr>
      <w:r w:rsidRPr="005E1A53">
        <w:rPr>
          <w:rFonts w:ascii="Arial" w:hAnsi="Arial" w:cs="Arial"/>
          <w:b/>
        </w:rPr>
        <w:t>The Job</w:t>
      </w:r>
      <w:r w:rsidRPr="005E1A53">
        <w:rPr>
          <w:rFonts w:ascii="Arial" w:hAnsi="Arial" w:cs="Arial"/>
          <w:b/>
        </w:rPr>
        <w:tab/>
      </w:r>
      <w:r w:rsidRPr="005E1A53">
        <w:rPr>
          <w:rFonts w:ascii="Arial" w:hAnsi="Arial" w:cs="Arial"/>
        </w:rPr>
        <w:tab/>
      </w:r>
      <w:r w:rsidRPr="005E1A53">
        <w:rPr>
          <w:rFonts w:ascii="Arial" w:hAnsi="Arial" w:cs="Arial"/>
          <w:b/>
        </w:rPr>
        <w:t>Lecturer on BA (Hons) Moving Image</w:t>
      </w:r>
    </w:p>
    <w:p w14:paraId="4E73D718" w14:textId="34D85499" w:rsidR="0043279C" w:rsidRPr="005E1A53" w:rsidRDefault="0043279C" w:rsidP="00102E39">
      <w:pPr>
        <w:rPr>
          <w:rFonts w:ascii="Arial" w:hAnsi="Arial" w:cs="Arial"/>
        </w:rPr>
      </w:pPr>
      <w:r w:rsidRPr="005E1A53">
        <w:rPr>
          <w:rFonts w:ascii="Arial" w:hAnsi="Arial" w:cs="Arial"/>
        </w:rPr>
        <w:t>Moving Image at University of Brighton was established in 2008 and is part of the Academic Programme in Photography, Moving Image and Sound.  The BA course is a practice-based degree focused on film and the area of Artists’ Moving Image. Teaching and research in Moving Image covers both visual art practice and cinema and it is at this meeting point where the course is concentrated. It is expected that students on the BA (Hons) Moving Image will engage in a variety of experimental practices that explore the potential of the medium on the screen, within the gallery space, in site-specific installations and across a range of media. Interdisciplinary approaches to the medium are encouraged. The focus of the course is oriented around a fine art ethos although graduates’ destinations are equally in the commercial world of the moving image as well as in the gallery space. Students take practice modules alongside Historical and Critical Studies modules. In the final year, students write a dissertation alongside practice work and a professional practice module.</w:t>
      </w:r>
    </w:p>
    <w:p w14:paraId="6AB90178" w14:textId="14EF212C" w:rsidR="0043279C" w:rsidRPr="005E1A53" w:rsidRDefault="0043279C" w:rsidP="00102E39">
      <w:pPr>
        <w:rPr>
          <w:rFonts w:ascii="Arial" w:hAnsi="Arial" w:cs="Arial"/>
        </w:rPr>
      </w:pPr>
      <w:r w:rsidRPr="005E1A53">
        <w:rPr>
          <w:rFonts w:ascii="Arial" w:hAnsi="Arial" w:cs="Arial"/>
        </w:rPr>
        <w:t>Whilst it is important to respect the distinctive histories of moving image disciplines in experimental film, video art and cinema, we also acknowledge that moving image practices are influenced by and continue to influence other creative disciplines. The practice and analysis of moving image on the BA (Hons) produces a culture fully committed to testing the boundaries of the medium.</w:t>
      </w:r>
    </w:p>
    <w:p w14:paraId="2D4BCBB1" w14:textId="235BD460" w:rsidR="0043279C" w:rsidRPr="005E1A53" w:rsidRDefault="0043279C" w:rsidP="00102E39">
      <w:pPr>
        <w:rPr>
          <w:rFonts w:ascii="Arial" w:hAnsi="Arial" w:cs="Arial"/>
        </w:rPr>
      </w:pPr>
      <w:r w:rsidRPr="005E1A53">
        <w:rPr>
          <w:rFonts w:ascii="Arial" w:hAnsi="Arial" w:cs="Arial"/>
        </w:rPr>
        <w:t>Moving Image at Brighton is supported by a wide range of technical resources, from Super 8 and 16mm celluloid to 4K video.</w:t>
      </w:r>
    </w:p>
    <w:p w14:paraId="0026C985" w14:textId="7DD7DF29" w:rsidR="00725041" w:rsidRPr="00250BB9" w:rsidRDefault="0043279C" w:rsidP="00102E39">
      <w:pPr>
        <w:rPr>
          <w:rFonts w:ascii="Arial" w:hAnsi="Arial" w:cs="Arial"/>
        </w:rPr>
      </w:pPr>
      <w:r w:rsidRPr="005E1A53">
        <w:rPr>
          <w:rFonts w:ascii="Arial" w:hAnsi="Arial" w:cs="Arial"/>
        </w:rPr>
        <w:t>The course has close links to CineCity, The Brighton Film Festival and staff and students regularly present work from the course in cinemas and art galleries in the Brighton area and farther afield.</w:t>
      </w:r>
      <w:r w:rsidR="00725041" w:rsidRPr="00FF59B0">
        <w:rPr>
          <w:rFonts w:ascii="Arial" w:hAnsi="Arial" w:cs="Arial"/>
          <w:b/>
        </w:rPr>
        <w:tab/>
      </w:r>
    </w:p>
    <w:p w14:paraId="1D4C7FF2" w14:textId="4C99E65C" w:rsidR="00725041" w:rsidRPr="00FF59B0" w:rsidRDefault="00725041" w:rsidP="00725041">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 and leadership of teaching and research activity, and to be making wider contributions to the work of their school and the university.</w:t>
      </w:r>
    </w:p>
    <w:p w14:paraId="73076715" w14:textId="77777777" w:rsidR="00102E39" w:rsidRDefault="00102E39" w:rsidP="00725041">
      <w:pPr>
        <w:rPr>
          <w:rFonts w:ascii="Arial" w:hAnsi="Arial" w:cs="Arial"/>
          <w:b/>
        </w:rPr>
      </w:pPr>
    </w:p>
    <w:p w14:paraId="7E0A73D5" w14:textId="77777777" w:rsidR="00102E39" w:rsidRDefault="00102E39" w:rsidP="00725041">
      <w:pPr>
        <w:rPr>
          <w:rFonts w:ascii="Arial" w:hAnsi="Arial" w:cs="Arial"/>
          <w:b/>
        </w:rPr>
      </w:pPr>
    </w:p>
    <w:p w14:paraId="17138592" w14:textId="2092604B" w:rsidR="00725041" w:rsidRPr="00FF59B0" w:rsidRDefault="00AB523C" w:rsidP="00725041">
      <w:pPr>
        <w:rPr>
          <w:rFonts w:ascii="Arial" w:hAnsi="Arial" w:cs="Arial"/>
          <w:b/>
        </w:rPr>
      </w:pPr>
      <w:r>
        <w:rPr>
          <w:rFonts w:ascii="Arial" w:hAnsi="Arial" w:cs="Arial"/>
          <w:b/>
        </w:rPr>
        <w:lastRenderedPageBreak/>
        <w:t>Teaching and s</w:t>
      </w:r>
      <w:r w:rsidR="00725041" w:rsidRPr="00FF59B0">
        <w:rPr>
          <w:rFonts w:ascii="Arial" w:hAnsi="Arial" w:cs="Arial"/>
          <w:b/>
        </w:rPr>
        <w:t>cholarship</w:t>
      </w:r>
    </w:p>
    <w:p w14:paraId="5CD6377C" w14:textId="74DFF74F" w:rsidR="00725041" w:rsidRPr="00FF59B0" w:rsidRDefault="00725041" w:rsidP="00725041">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43E3530" w14:textId="77777777" w:rsidR="00725041" w:rsidRPr="00FF59B0" w:rsidRDefault="00725041" w:rsidP="00725041">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683F0E5C" w14:textId="77777777" w:rsidR="00725041" w:rsidRPr="00FF59B0" w:rsidRDefault="00725041" w:rsidP="00725041">
      <w:pPr>
        <w:rPr>
          <w:rFonts w:ascii="Arial" w:hAnsi="Arial" w:cs="Arial"/>
        </w:rPr>
      </w:pPr>
      <w:r w:rsidRPr="00FF59B0">
        <w:rPr>
          <w:rFonts w:ascii="Arial" w:hAnsi="Arial" w:cs="Arial"/>
        </w:rPr>
        <w:t>In addition a Senior Lecturer (Ac3) is expected to be able to design teaching materials, identify areas where current provision is in need of revision or improvement, supervise student projects, field trips and placement activity.</w:t>
      </w:r>
    </w:p>
    <w:p w14:paraId="4329B5DA" w14:textId="002053A3" w:rsidR="00725041" w:rsidRPr="00725041" w:rsidRDefault="00AB523C" w:rsidP="00725041">
      <w:pPr>
        <w:rPr>
          <w:rFonts w:ascii="Arial" w:hAnsi="Arial" w:cs="Arial"/>
          <w:b/>
        </w:rPr>
      </w:pPr>
      <w:r>
        <w:rPr>
          <w:rFonts w:ascii="Arial" w:hAnsi="Arial" w:cs="Arial"/>
          <w:b/>
        </w:rPr>
        <w:t>Research and s</w:t>
      </w:r>
      <w:r w:rsidR="00725041" w:rsidRPr="00725041">
        <w:rPr>
          <w:rFonts w:ascii="Arial" w:hAnsi="Arial" w:cs="Arial"/>
          <w:b/>
        </w:rPr>
        <w:t>cholarship</w:t>
      </w:r>
    </w:p>
    <w:p w14:paraId="502DFC7D" w14:textId="77777777" w:rsidR="00725041" w:rsidRPr="00FF59B0" w:rsidRDefault="00725041" w:rsidP="00725041">
      <w:pPr>
        <w:rPr>
          <w:rFonts w:ascii="Arial" w:hAnsi="Arial" w:cs="Arial"/>
        </w:rPr>
      </w:pPr>
      <w:r w:rsidRPr="00FF59B0">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12DF8E63" w14:textId="77777777" w:rsidR="00725041" w:rsidRPr="00FF59B0" w:rsidRDefault="00725041" w:rsidP="00725041">
      <w:pPr>
        <w:rPr>
          <w:rFonts w:ascii="Arial" w:hAnsi="Arial" w:cs="Arial"/>
        </w:rPr>
      </w:pPr>
      <w:r w:rsidRPr="00FF59B0">
        <w:rPr>
          <w:rFonts w:ascii="Arial" w:hAnsi="Arial" w:cs="Arial"/>
        </w:rPr>
        <w:t>In addition a Senior Lecturer should: disseminate research findings and outputs at conferences and similar events and identify and seek sources of external funding for their own scholarly activity.</w:t>
      </w:r>
    </w:p>
    <w:p w14:paraId="5C54E6C1" w14:textId="77777777" w:rsidR="00725041" w:rsidRPr="00725041" w:rsidRDefault="00725041" w:rsidP="00725041">
      <w:pPr>
        <w:rPr>
          <w:rFonts w:ascii="Arial" w:hAnsi="Arial" w:cs="Arial"/>
          <w:b/>
        </w:rPr>
      </w:pPr>
      <w:r w:rsidRPr="00725041">
        <w:rPr>
          <w:rFonts w:ascii="Arial" w:hAnsi="Arial" w:cs="Arial"/>
          <w:b/>
        </w:rPr>
        <w:t>Communication</w:t>
      </w:r>
    </w:p>
    <w:p w14:paraId="72A54E39" w14:textId="77777777" w:rsidR="00725041" w:rsidRPr="00FF59B0" w:rsidRDefault="00725041" w:rsidP="00725041">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654697BC" w14:textId="77777777" w:rsidR="00725041" w:rsidRPr="00FF59B0" w:rsidRDefault="00725041" w:rsidP="00725041">
      <w:pPr>
        <w:rPr>
          <w:rFonts w:ascii="Arial" w:hAnsi="Arial" w:cs="Arial"/>
        </w:rPr>
      </w:pPr>
      <w:r w:rsidRPr="00FF59B0">
        <w:rPr>
          <w:rFonts w:ascii="Arial" w:hAnsi="Arial" w:cs="Arial"/>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5C825957" w14:textId="4211241C" w:rsidR="00725041" w:rsidRPr="00AB523C" w:rsidRDefault="00AB523C" w:rsidP="00725041">
      <w:pPr>
        <w:rPr>
          <w:rFonts w:ascii="Arial" w:hAnsi="Arial" w:cs="Arial"/>
          <w:b/>
        </w:rPr>
      </w:pPr>
      <w:r>
        <w:rPr>
          <w:rFonts w:ascii="Arial" w:hAnsi="Arial" w:cs="Arial"/>
          <w:b/>
        </w:rPr>
        <w:t>Liaison and n</w:t>
      </w:r>
      <w:r w:rsidR="00725041" w:rsidRPr="00AB523C">
        <w:rPr>
          <w:rFonts w:ascii="Arial" w:hAnsi="Arial" w:cs="Arial"/>
          <w:b/>
        </w:rPr>
        <w:t>etworking</w:t>
      </w:r>
    </w:p>
    <w:p w14:paraId="123588B7" w14:textId="09FB5A8E" w:rsidR="00725041" w:rsidRPr="00FF59B0" w:rsidRDefault="00725041" w:rsidP="00725041">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392198E8" w14:textId="77777777" w:rsidR="00725041" w:rsidRPr="00FF59B0" w:rsidRDefault="00725041" w:rsidP="00725041">
      <w:pPr>
        <w:rPr>
          <w:rFonts w:ascii="Arial" w:hAnsi="Arial" w:cs="Arial"/>
        </w:rPr>
      </w:pPr>
      <w:r w:rsidRPr="00FF59B0">
        <w:rPr>
          <w:rFonts w:ascii="Arial" w:hAnsi="Arial" w:cs="Arial"/>
        </w:rPr>
        <w:lastRenderedPageBreak/>
        <w:t>In addition a Senior Lecturer will be able to develop external networks in such areas as: identifying sources of funding; student recruitment; student placements; outreach and marketing activity, and obtaining consultancy projects.</w:t>
      </w:r>
    </w:p>
    <w:p w14:paraId="1BFD255C" w14:textId="5167D24E" w:rsidR="00725041" w:rsidRPr="00AB523C" w:rsidRDefault="00AB523C" w:rsidP="00725041">
      <w:pPr>
        <w:rPr>
          <w:rFonts w:ascii="Arial" w:hAnsi="Arial" w:cs="Arial"/>
          <w:b/>
        </w:rPr>
      </w:pPr>
      <w:r>
        <w:rPr>
          <w:rFonts w:ascii="Arial" w:hAnsi="Arial" w:cs="Arial"/>
          <w:b/>
        </w:rPr>
        <w:t>Managing p</w:t>
      </w:r>
      <w:r w:rsidR="00725041" w:rsidRPr="00AB523C">
        <w:rPr>
          <w:rFonts w:ascii="Arial" w:hAnsi="Arial" w:cs="Arial"/>
          <w:b/>
        </w:rPr>
        <w:t>eople</w:t>
      </w:r>
    </w:p>
    <w:p w14:paraId="5EE9D874" w14:textId="77777777" w:rsidR="00725041" w:rsidRPr="00FF59B0" w:rsidRDefault="00725041" w:rsidP="00725041">
      <w:pPr>
        <w:rPr>
          <w:rFonts w:ascii="Arial" w:hAnsi="Arial" w:cs="Arial"/>
        </w:rPr>
      </w:pPr>
      <w:r w:rsidRPr="00FF59B0">
        <w:rPr>
          <w:rFonts w:ascii="Arial" w:hAnsi="Arial" w:cs="Arial"/>
        </w:rPr>
        <w:t>A Lecturer will be able to agree and largely self-manage teaching, research and administrative activities.</w:t>
      </w:r>
    </w:p>
    <w:p w14:paraId="45AEC296" w14:textId="77777777" w:rsidR="00725041" w:rsidRPr="00FF59B0" w:rsidRDefault="00725041" w:rsidP="00725041">
      <w:pPr>
        <w:rPr>
          <w:rFonts w:ascii="Arial" w:hAnsi="Arial" w:cs="Arial"/>
        </w:rPr>
      </w:pPr>
      <w:r w:rsidRPr="00FF59B0">
        <w:rPr>
          <w:rFonts w:ascii="Arial" w:hAnsi="Arial" w:cs="Arial"/>
        </w:rPr>
        <w:t>In addition a Senior Lecturer will be expected to:  advise and support less experienced colleagues; in certain circumstances supervise the work of others in research teams or as a research supervisor, and coordinate the work of colleagues, for example when acting as a module leader.</w:t>
      </w:r>
    </w:p>
    <w:p w14:paraId="2EBD85B7" w14:textId="77777777" w:rsidR="00725041" w:rsidRPr="00AB523C" w:rsidRDefault="00725041" w:rsidP="00725041">
      <w:pPr>
        <w:rPr>
          <w:rFonts w:ascii="Arial" w:hAnsi="Arial" w:cs="Arial"/>
          <w:b/>
        </w:rPr>
      </w:pPr>
      <w:r w:rsidRPr="00AB523C">
        <w:rPr>
          <w:rFonts w:ascii="Arial" w:hAnsi="Arial" w:cs="Arial"/>
          <w:b/>
        </w:rPr>
        <w:t>Teamwork</w:t>
      </w:r>
    </w:p>
    <w:p w14:paraId="4BDAD96F" w14:textId="77777777" w:rsidR="00725041" w:rsidRPr="00FF59B0" w:rsidRDefault="00725041" w:rsidP="00725041">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FDE0B89" w14:textId="77777777" w:rsidR="00725041" w:rsidRPr="00FF59B0" w:rsidRDefault="00725041" w:rsidP="00725041">
      <w:pPr>
        <w:rPr>
          <w:rFonts w:ascii="Arial" w:hAnsi="Arial" w:cs="Arial"/>
        </w:rPr>
      </w:pPr>
      <w:r w:rsidRPr="00FF59B0">
        <w:rPr>
          <w:rFonts w:ascii="Arial" w:hAnsi="Arial" w:cs="Arial"/>
        </w:rPr>
        <w:t>In addition a Senior Lecturer may be required to act as a team leader in a small scale project.</w:t>
      </w:r>
    </w:p>
    <w:p w14:paraId="57674112" w14:textId="77777777" w:rsidR="00725041" w:rsidRPr="00AB523C" w:rsidRDefault="00725041" w:rsidP="00725041">
      <w:pPr>
        <w:rPr>
          <w:rFonts w:ascii="Arial" w:hAnsi="Arial" w:cs="Arial"/>
          <w:b/>
        </w:rPr>
      </w:pPr>
      <w:r w:rsidRPr="00AB523C">
        <w:rPr>
          <w:rFonts w:ascii="Arial" w:hAnsi="Arial" w:cs="Arial"/>
          <w:b/>
        </w:rPr>
        <w:t>Pastoral Care</w:t>
      </w:r>
    </w:p>
    <w:p w14:paraId="18F15BE7" w14:textId="77777777" w:rsidR="00725041" w:rsidRPr="00FF59B0" w:rsidRDefault="00725041" w:rsidP="00725041">
      <w:pPr>
        <w:rPr>
          <w:rFonts w:ascii="Arial" w:hAnsi="Arial" w:cs="Arial"/>
        </w:rPr>
      </w:pPr>
      <w:r w:rsidRPr="00FF59B0">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AB523C" w:rsidRDefault="00AB523C" w:rsidP="00725041">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581079C6" w14:textId="77777777" w:rsidR="00725041" w:rsidRPr="00FF59B0" w:rsidRDefault="00725041" w:rsidP="00725041">
      <w:pPr>
        <w:rPr>
          <w:rFonts w:ascii="Arial" w:hAnsi="Arial" w:cs="Arial"/>
        </w:rPr>
      </w:pPr>
      <w:r w:rsidRPr="00FF59B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6202C22E" w14:textId="77777777" w:rsidR="00725041" w:rsidRPr="00FF59B0" w:rsidRDefault="00725041" w:rsidP="00725041">
      <w:pPr>
        <w:rPr>
          <w:rFonts w:ascii="Arial" w:hAnsi="Arial" w:cs="Arial"/>
        </w:rPr>
      </w:pPr>
      <w:r w:rsidRPr="00FF59B0">
        <w:rPr>
          <w:rFonts w:ascii="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1E0B26B0" w14:textId="790792F7" w:rsidR="00725041" w:rsidRPr="00AB523C" w:rsidRDefault="00AB523C" w:rsidP="00725041">
      <w:pPr>
        <w:rPr>
          <w:rFonts w:ascii="Arial" w:hAnsi="Arial" w:cs="Arial"/>
          <w:b/>
        </w:rPr>
      </w:pPr>
      <w:r>
        <w:rPr>
          <w:rFonts w:ascii="Arial" w:hAnsi="Arial" w:cs="Arial"/>
          <w:b/>
        </w:rPr>
        <w:t>Planning and managing r</w:t>
      </w:r>
      <w:r w:rsidR="00725041" w:rsidRPr="00AB523C">
        <w:rPr>
          <w:rFonts w:ascii="Arial" w:hAnsi="Arial" w:cs="Arial"/>
          <w:b/>
        </w:rPr>
        <w:t>esources</w:t>
      </w:r>
    </w:p>
    <w:p w14:paraId="706B3720" w14:textId="77777777" w:rsidR="00725041" w:rsidRPr="00FF59B0" w:rsidRDefault="00725041" w:rsidP="00725041">
      <w:pPr>
        <w:rPr>
          <w:rFonts w:ascii="Arial" w:hAnsi="Arial" w:cs="Arial"/>
        </w:rPr>
      </w:pPr>
      <w:r w:rsidRPr="00FF59B0">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0927096C" w14:textId="77777777" w:rsidR="00725041" w:rsidRPr="00FF59B0" w:rsidRDefault="00725041" w:rsidP="00725041">
      <w:pPr>
        <w:rPr>
          <w:rFonts w:ascii="Arial" w:hAnsi="Arial" w:cs="Arial"/>
        </w:rPr>
      </w:pPr>
      <w:r w:rsidRPr="00FF59B0">
        <w:rPr>
          <w:rFonts w:ascii="Arial" w:hAnsi="Arial" w:cs="Arial"/>
        </w:rPr>
        <w:t>In addition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76B3E054" w14:textId="434ACED8" w:rsidR="00725041" w:rsidRPr="005E1A53" w:rsidRDefault="00AB523C" w:rsidP="00725041">
      <w:pPr>
        <w:rPr>
          <w:rFonts w:ascii="Arial" w:hAnsi="Arial" w:cs="Arial"/>
          <w:b/>
        </w:rPr>
      </w:pPr>
      <w:r w:rsidRPr="005E1A53">
        <w:rPr>
          <w:rFonts w:ascii="Arial" w:hAnsi="Arial" w:cs="Arial"/>
          <w:b/>
        </w:rPr>
        <w:t>Knowledge and q</w:t>
      </w:r>
      <w:r w:rsidR="00725041" w:rsidRPr="005E1A53">
        <w:rPr>
          <w:rFonts w:ascii="Arial" w:hAnsi="Arial" w:cs="Arial"/>
          <w:b/>
        </w:rPr>
        <w:t>ualifications</w:t>
      </w:r>
    </w:p>
    <w:p w14:paraId="24053798" w14:textId="451F07CE" w:rsidR="00725041" w:rsidRPr="005E1A53" w:rsidRDefault="00725041" w:rsidP="00725041">
      <w:pPr>
        <w:rPr>
          <w:rFonts w:ascii="Arial" w:hAnsi="Arial" w:cs="Arial"/>
        </w:rPr>
      </w:pPr>
      <w:bookmarkStart w:id="0" w:name="_GoBack"/>
      <w:bookmarkEnd w:id="0"/>
      <w:r w:rsidRPr="005E1A53">
        <w:rPr>
          <w:rFonts w:ascii="Arial" w:hAnsi="Arial" w:cs="Arial"/>
        </w:rPr>
        <w:t>I</w:t>
      </w:r>
      <w:r w:rsidR="00E3742B" w:rsidRPr="005E1A53">
        <w:rPr>
          <w:rFonts w:ascii="Arial" w:hAnsi="Arial" w:cs="Arial"/>
        </w:rPr>
        <w:t xml:space="preserve">t is expected </w:t>
      </w:r>
      <w:r w:rsidRPr="005E1A53">
        <w:rPr>
          <w:rFonts w:ascii="Arial" w:hAnsi="Arial" w:cs="Arial"/>
        </w:rPr>
        <w:t xml:space="preserve"> that the criteria below regarding knowledge and qualifications will be met by the successful candidate.</w:t>
      </w:r>
    </w:p>
    <w:p w14:paraId="1B4D9F40" w14:textId="36335ABE" w:rsidR="0043279C" w:rsidRPr="005E1A53" w:rsidRDefault="0043279C" w:rsidP="00102E39">
      <w:pPr>
        <w:widowControl w:val="0"/>
        <w:spacing w:line="240" w:lineRule="atLeast"/>
        <w:ind w:left="283" w:hanging="283"/>
        <w:rPr>
          <w:rFonts w:ascii="Arial" w:hAnsi="Arial" w:cs="Arial"/>
        </w:rPr>
      </w:pPr>
      <w:r w:rsidRPr="005E1A53">
        <w:rPr>
          <w:rFonts w:ascii="Arial" w:hAnsi="Arial" w:cs="Arial"/>
        </w:rPr>
        <w:t>•</w:t>
      </w:r>
      <w:r w:rsidRPr="005E1A53">
        <w:rPr>
          <w:rFonts w:ascii="Arial" w:hAnsi="Arial" w:cs="Arial"/>
        </w:rPr>
        <w:tab/>
        <w:t>A good (1 or 2:1) degree in relevant subject areas</w:t>
      </w:r>
      <w:r w:rsidR="00102E39">
        <w:rPr>
          <w:rFonts w:ascii="Arial" w:hAnsi="Arial" w:cs="Arial"/>
        </w:rPr>
        <w:t>.</w:t>
      </w:r>
    </w:p>
    <w:p w14:paraId="6913D4EC" w14:textId="20114E2C" w:rsidR="0043279C" w:rsidRPr="005E1A53" w:rsidRDefault="00DB4BB9" w:rsidP="00102E39">
      <w:pPr>
        <w:widowControl w:val="0"/>
        <w:spacing w:line="240" w:lineRule="atLeast"/>
        <w:ind w:left="283" w:hanging="283"/>
        <w:rPr>
          <w:rFonts w:ascii="Arial" w:hAnsi="Arial" w:cs="Arial"/>
        </w:rPr>
      </w:pPr>
      <w:r w:rsidRPr="005E1A53">
        <w:rPr>
          <w:rFonts w:ascii="Arial" w:hAnsi="Arial" w:cs="Arial"/>
        </w:rPr>
        <w:t>•</w:t>
      </w:r>
      <w:r w:rsidRPr="005E1A53">
        <w:rPr>
          <w:rFonts w:ascii="Arial" w:hAnsi="Arial" w:cs="Arial"/>
        </w:rPr>
        <w:tab/>
      </w:r>
      <w:r w:rsidR="0043279C" w:rsidRPr="005E1A53">
        <w:rPr>
          <w:rFonts w:ascii="Arial" w:hAnsi="Arial" w:cs="Arial"/>
        </w:rPr>
        <w:t>A Postgraduate teaching qualification for HE or a commitment to achieving this award within the first 24 months of employment.</w:t>
      </w:r>
    </w:p>
    <w:p w14:paraId="752DF954" w14:textId="02565233" w:rsidR="0043279C" w:rsidRPr="005E1A53" w:rsidRDefault="0043279C" w:rsidP="00102E39">
      <w:pPr>
        <w:widowControl w:val="0"/>
        <w:ind w:left="283" w:hanging="283"/>
        <w:rPr>
          <w:rFonts w:ascii="Arial" w:hAnsi="Arial" w:cs="Arial"/>
        </w:rPr>
      </w:pPr>
      <w:r w:rsidRPr="005E1A53">
        <w:rPr>
          <w:rFonts w:ascii="Arial" w:hAnsi="Arial" w:cs="Arial"/>
        </w:rPr>
        <w:t>•</w:t>
      </w:r>
      <w:r w:rsidRPr="005E1A53">
        <w:rPr>
          <w:rFonts w:ascii="Arial" w:hAnsi="Arial" w:cs="Arial"/>
        </w:rPr>
        <w:tab/>
        <w:t xml:space="preserve">Up-to-date, sound knowledge of the subject of Moving Image including current professional/vocational developments. </w:t>
      </w:r>
    </w:p>
    <w:p w14:paraId="7729F4A9" w14:textId="356BCEA3" w:rsidR="0043279C" w:rsidRPr="00102E39" w:rsidRDefault="0043279C" w:rsidP="00102E39">
      <w:pPr>
        <w:pStyle w:val="ListParagraph"/>
        <w:widowControl w:val="0"/>
        <w:numPr>
          <w:ilvl w:val="0"/>
          <w:numId w:val="23"/>
        </w:numPr>
        <w:rPr>
          <w:rFonts w:ascii="Arial" w:hAnsi="Arial" w:cs="Arial"/>
        </w:rPr>
      </w:pPr>
      <w:r w:rsidRPr="00102E39">
        <w:rPr>
          <w:rFonts w:ascii="Arial" w:hAnsi="Arial" w:cs="Arial"/>
        </w:rPr>
        <w:t xml:space="preserve">A record of research activity </w:t>
      </w:r>
      <w:r w:rsidR="00102E39">
        <w:rPr>
          <w:rFonts w:ascii="Arial" w:hAnsi="Arial" w:cs="Arial"/>
        </w:rPr>
        <w:t>in the area of the Moving Image.</w:t>
      </w:r>
    </w:p>
    <w:p w14:paraId="39BC2544" w14:textId="03E3077A" w:rsidR="0043279C" w:rsidRPr="005E1A53" w:rsidRDefault="0043279C" w:rsidP="00102E39">
      <w:pPr>
        <w:widowControl w:val="0"/>
        <w:ind w:left="283" w:hanging="283"/>
        <w:rPr>
          <w:rFonts w:ascii="Arial" w:hAnsi="Arial" w:cs="Arial"/>
        </w:rPr>
      </w:pPr>
      <w:r w:rsidRPr="005E1A53">
        <w:rPr>
          <w:rFonts w:ascii="Arial" w:hAnsi="Arial" w:cs="Arial"/>
        </w:rPr>
        <w:t>•</w:t>
      </w:r>
      <w:r w:rsidRPr="005E1A53">
        <w:rPr>
          <w:rFonts w:ascii="Arial" w:hAnsi="Arial" w:cs="Arial"/>
        </w:rPr>
        <w:tab/>
        <w:t>Understanding of academic and award standards and the range and level of knowledge and skills, both subject-specific and generic, which the programme is intended to foster</w:t>
      </w:r>
      <w:r w:rsidR="00102E39">
        <w:rPr>
          <w:rFonts w:ascii="Arial" w:hAnsi="Arial" w:cs="Arial"/>
        </w:rPr>
        <w:t>.</w:t>
      </w:r>
    </w:p>
    <w:p w14:paraId="34120029" w14:textId="37A29901" w:rsidR="0043279C" w:rsidRPr="005E1A53" w:rsidRDefault="0043279C" w:rsidP="00102E39">
      <w:pPr>
        <w:widowControl w:val="0"/>
        <w:ind w:left="283" w:hanging="283"/>
        <w:rPr>
          <w:rFonts w:ascii="Arial" w:hAnsi="Arial" w:cs="Arial"/>
        </w:rPr>
      </w:pPr>
      <w:r w:rsidRPr="005E1A53">
        <w:rPr>
          <w:rFonts w:ascii="Arial" w:hAnsi="Arial" w:cs="Arial"/>
        </w:rPr>
        <w:t>•</w:t>
      </w:r>
      <w:r w:rsidRPr="005E1A53">
        <w:rPr>
          <w:rFonts w:ascii="Arial" w:hAnsi="Arial" w:cs="Arial"/>
        </w:rPr>
        <w:tab/>
        <w:t>Good IT skills and effective use of IT for teaching and learning</w:t>
      </w:r>
      <w:r w:rsidR="00102E39">
        <w:rPr>
          <w:rFonts w:ascii="Arial" w:hAnsi="Arial" w:cs="Arial"/>
        </w:rPr>
        <w:t>.</w:t>
      </w:r>
    </w:p>
    <w:p w14:paraId="6F94B315" w14:textId="73D4925A" w:rsidR="0043279C" w:rsidRPr="005E1A53" w:rsidRDefault="0043279C" w:rsidP="00102E39">
      <w:pPr>
        <w:widowControl w:val="0"/>
        <w:ind w:left="283" w:hanging="283"/>
        <w:rPr>
          <w:rFonts w:ascii="Arial" w:hAnsi="Arial" w:cs="Arial"/>
        </w:rPr>
      </w:pPr>
      <w:r w:rsidRPr="005E1A53">
        <w:rPr>
          <w:rFonts w:ascii="Arial" w:hAnsi="Arial" w:cs="Arial"/>
        </w:rPr>
        <w:t>•</w:t>
      </w:r>
      <w:r w:rsidRPr="005E1A53">
        <w:rPr>
          <w:rFonts w:ascii="Arial" w:hAnsi="Arial" w:cs="Arial"/>
        </w:rPr>
        <w:tab/>
        <w:t>A proven understanding of the critical and theoretical debates around contemporary Moving Image practices</w:t>
      </w:r>
      <w:r w:rsidR="00102E39">
        <w:rPr>
          <w:rFonts w:ascii="Arial" w:hAnsi="Arial" w:cs="Arial"/>
        </w:rPr>
        <w:t>.</w:t>
      </w:r>
    </w:p>
    <w:p w14:paraId="41D52E26" w14:textId="226D347B" w:rsidR="0043279C" w:rsidRPr="005E1A53" w:rsidRDefault="0043279C" w:rsidP="00102E39">
      <w:pPr>
        <w:widowControl w:val="0"/>
        <w:ind w:left="283" w:hanging="283"/>
        <w:rPr>
          <w:rFonts w:ascii="Arial" w:hAnsi="Arial" w:cs="Arial"/>
        </w:rPr>
      </w:pPr>
      <w:r w:rsidRPr="005E1A53">
        <w:rPr>
          <w:rFonts w:ascii="Arial" w:hAnsi="Arial" w:cs="Arial"/>
        </w:rPr>
        <w:t>•</w:t>
      </w:r>
      <w:r w:rsidRPr="005E1A53">
        <w:rPr>
          <w:rFonts w:ascii="Arial" w:hAnsi="Arial" w:cs="Arial"/>
        </w:rPr>
        <w:tab/>
        <w:t>Experience of teaching Moving Image particularly in the early stages of an undergraduate programme.</w:t>
      </w:r>
    </w:p>
    <w:p w14:paraId="18147A85" w14:textId="52831B37" w:rsidR="0043279C" w:rsidRDefault="0043279C" w:rsidP="00102E39">
      <w:pPr>
        <w:widowControl w:val="0"/>
        <w:ind w:left="283" w:hanging="283"/>
        <w:rPr>
          <w:rFonts w:ascii="Arial" w:hAnsi="Arial" w:cs="Arial"/>
        </w:rPr>
      </w:pPr>
      <w:r w:rsidRPr="005E1A53">
        <w:rPr>
          <w:rFonts w:ascii="Arial" w:hAnsi="Arial" w:cs="Arial"/>
        </w:rPr>
        <w:t>•</w:t>
      </w:r>
      <w:r w:rsidRPr="005E1A53">
        <w:rPr>
          <w:rFonts w:ascii="Arial" w:hAnsi="Arial" w:cs="Arial"/>
        </w:rPr>
        <w:tab/>
        <w:t>Experience of teaching and assessing historical and critical studies work in Moving Image, via lectures, seminars and essay writing, at all stages of an undergraduate programme up to dissertation.</w:t>
      </w:r>
    </w:p>
    <w:p w14:paraId="2D7DF58E" w14:textId="14E657B4" w:rsidR="00102E39" w:rsidRDefault="00102E39" w:rsidP="00102E39">
      <w:pPr>
        <w:pStyle w:val="ListParagraph"/>
        <w:widowControl w:val="0"/>
        <w:numPr>
          <w:ilvl w:val="0"/>
          <w:numId w:val="21"/>
        </w:numPr>
        <w:rPr>
          <w:rFonts w:ascii="Arial" w:hAnsi="Arial" w:cs="Arial"/>
        </w:rPr>
      </w:pPr>
      <w:r>
        <w:rPr>
          <w:rFonts w:ascii="Arial" w:hAnsi="Arial" w:cs="Arial"/>
        </w:rPr>
        <w:t>Experience of course/</w:t>
      </w:r>
      <w:r w:rsidRPr="005E1A53">
        <w:rPr>
          <w:rFonts w:ascii="Arial" w:hAnsi="Arial" w:cs="Arial"/>
        </w:rPr>
        <w:t>module organisation</w:t>
      </w:r>
      <w:r>
        <w:rPr>
          <w:rFonts w:ascii="Arial" w:hAnsi="Arial" w:cs="Arial"/>
        </w:rPr>
        <w:t>.</w:t>
      </w:r>
    </w:p>
    <w:p w14:paraId="4602059C" w14:textId="77777777" w:rsidR="00102E39" w:rsidRDefault="00102E39" w:rsidP="00102E39">
      <w:pPr>
        <w:pStyle w:val="ListParagraph"/>
        <w:widowControl w:val="0"/>
        <w:ind w:left="360"/>
        <w:rPr>
          <w:rFonts w:ascii="Arial" w:hAnsi="Arial" w:cs="Arial"/>
        </w:rPr>
      </w:pPr>
    </w:p>
    <w:p w14:paraId="569E0D88" w14:textId="77777777" w:rsidR="00102E39" w:rsidRDefault="00102E39" w:rsidP="00102E39">
      <w:pPr>
        <w:pStyle w:val="ListParagraph"/>
        <w:widowControl w:val="0"/>
        <w:ind w:left="360"/>
        <w:rPr>
          <w:rFonts w:ascii="Arial" w:hAnsi="Arial" w:cs="Arial"/>
        </w:rPr>
      </w:pPr>
    </w:p>
    <w:p w14:paraId="087A0EC6" w14:textId="77777777" w:rsidR="00102E39" w:rsidRDefault="00102E39" w:rsidP="00102E39">
      <w:pPr>
        <w:pStyle w:val="ListParagraph"/>
        <w:widowControl w:val="0"/>
        <w:ind w:left="360"/>
        <w:rPr>
          <w:rFonts w:ascii="Arial" w:hAnsi="Arial" w:cs="Arial"/>
        </w:rPr>
      </w:pPr>
    </w:p>
    <w:p w14:paraId="4D9578C7" w14:textId="77777777" w:rsidR="00102E39" w:rsidRDefault="00102E39" w:rsidP="00102E39">
      <w:pPr>
        <w:pStyle w:val="ListParagraph"/>
        <w:widowControl w:val="0"/>
        <w:ind w:left="360"/>
        <w:rPr>
          <w:rFonts w:ascii="Arial" w:hAnsi="Arial" w:cs="Arial"/>
        </w:rPr>
      </w:pPr>
    </w:p>
    <w:p w14:paraId="7A4742A1" w14:textId="77777777" w:rsidR="00102E39" w:rsidRDefault="00102E39" w:rsidP="00102E39">
      <w:pPr>
        <w:pStyle w:val="ListParagraph"/>
        <w:widowControl w:val="0"/>
        <w:ind w:left="360"/>
        <w:rPr>
          <w:rFonts w:ascii="Arial" w:hAnsi="Arial" w:cs="Arial"/>
        </w:rPr>
      </w:pPr>
    </w:p>
    <w:p w14:paraId="1AD4209D" w14:textId="77777777" w:rsidR="00102E39" w:rsidRDefault="00102E39" w:rsidP="00102E39">
      <w:pPr>
        <w:pStyle w:val="ListParagraph"/>
        <w:widowControl w:val="0"/>
        <w:ind w:left="360"/>
        <w:rPr>
          <w:rFonts w:ascii="Arial" w:hAnsi="Arial" w:cs="Arial"/>
        </w:rPr>
      </w:pPr>
    </w:p>
    <w:p w14:paraId="56F3DFE8" w14:textId="77777777" w:rsidR="00102E39" w:rsidRDefault="00102E39" w:rsidP="00102E39">
      <w:pPr>
        <w:pStyle w:val="ListParagraph"/>
        <w:widowControl w:val="0"/>
        <w:ind w:left="360"/>
        <w:rPr>
          <w:rFonts w:ascii="Arial" w:hAnsi="Arial" w:cs="Arial"/>
        </w:rPr>
      </w:pPr>
    </w:p>
    <w:p w14:paraId="64E19BF3" w14:textId="77777777" w:rsidR="00102E39" w:rsidRDefault="00102E39" w:rsidP="00102E39">
      <w:pPr>
        <w:pStyle w:val="ListParagraph"/>
        <w:widowControl w:val="0"/>
        <w:ind w:left="360"/>
        <w:rPr>
          <w:rFonts w:ascii="Arial" w:hAnsi="Arial" w:cs="Arial"/>
        </w:rPr>
      </w:pPr>
    </w:p>
    <w:p w14:paraId="3E289CDC" w14:textId="77777777" w:rsidR="00102E39" w:rsidRPr="00102E39" w:rsidRDefault="00102E39" w:rsidP="00102E39">
      <w:pPr>
        <w:pStyle w:val="ListParagraph"/>
        <w:widowControl w:val="0"/>
        <w:ind w:left="360"/>
        <w:rPr>
          <w:rFonts w:ascii="Arial" w:hAnsi="Arial" w:cs="Arial"/>
        </w:rPr>
      </w:pPr>
    </w:p>
    <w:p w14:paraId="2AE74BCF" w14:textId="77777777" w:rsidR="00E3742B" w:rsidRPr="0064295F" w:rsidRDefault="00E3742B" w:rsidP="0043279C">
      <w:pPr>
        <w:spacing w:after="0" w:line="240" w:lineRule="auto"/>
        <w:ind w:left="2409"/>
        <w:rPr>
          <w:rFonts w:ascii="Arial" w:hAnsi="Arial" w:cs="Arial"/>
        </w:rPr>
      </w:pPr>
    </w:p>
    <w:p w14:paraId="76B972B5" w14:textId="7B3D9B58" w:rsidR="00177727" w:rsidRPr="008016F9" w:rsidRDefault="008016F9" w:rsidP="008016F9">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5DA76474" w14:textId="6AB0032E" w:rsidR="00E63F90" w:rsidRPr="004E2BC3" w:rsidRDefault="00E3742B" w:rsidP="00CD3832">
      <w:pPr>
        <w:pStyle w:val="ListParagraph"/>
        <w:widowControl w:val="0"/>
        <w:numPr>
          <w:ilvl w:val="0"/>
          <w:numId w:val="8"/>
        </w:numPr>
        <w:tabs>
          <w:tab w:val="left" w:pos="2736"/>
        </w:tabs>
        <w:rPr>
          <w:rFonts w:ascii="Arial" w:hAnsi="Arial" w:cs="Arial"/>
        </w:rPr>
      </w:pPr>
      <w:r>
        <w:rPr>
          <w:rFonts w:ascii="Arial" w:hAnsi="Arial" w:cs="Arial"/>
        </w:rPr>
        <w:t xml:space="preserve">The </w:t>
      </w:r>
      <w:r w:rsidR="004E2BC3">
        <w:rPr>
          <w:rFonts w:ascii="Arial" w:hAnsi="Arial" w:cs="Arial"/>
        </w:rPr>
        <w:t xml:space="preserve">appointment is </w:t>
      </w:r>
      <w:r w:rsidR="000650C6">
        <w:rPr>
          <w:rFonts w:ascii="Arial" w:hAnsi="Arial" w:cs="Arial"/>
        </w:rPr>
        <w:t>permanent</w:t>
      </w:r>
    </w:p>
    <w:p w14:paraId="2C4E67EB" w14:textId="7D76E090" w:rsidR="00177727" w:rsidRDefault="00177727" w:rsidP="00CD3832">
      <w:pPr>
        <w:pStyle w:val="ListParagraph"/>
        <w:numPr>
          <w:ilvl w:val="0"/>
          <w:numId w:val="8"/>
        </w:numPr>
        <w:spacing w:after="0"/>
        <w:rPr>
          <w:rFonts w:ascii="Arial" w:hAnsi="Arial" w:cs="Arial"/>
        </w:rPr>
      </w:pPr>
      <w:r w:rsidRPr="004E2BC3">
        <w:rPr>
          <w:rFonts w:ascii="Arial" w:hAnsi="Arial" w:cs="Arial"/>
        </w:rPr>
        <w:t>The</w:t>
      </w:r>
      <w:r w:rsidRPr="00177727">
        <w:rPr>
          <w:rFonts w:ascii="Arial" w:hAnsi="Arial" w:cs="Arial"/>
        </w:rPr>
        <w:t xml:space="preserve"> appointment is generally made at the bottom of the range dependent upon experience and previous salary.</w:t>
      </w:r>
    </w:p>
    <w:p w14:paraId="307BC116" w14:textId="4189C03A" w:rsidR="00177727" w:rsidRDefault="00E63F90" w:rsidP="00CD3832">
      <w:pPr>
        <w:pStyle w:val="ListParagraph"/>
        <w:numPr>
          <w:ilvl w:val="0"/>
          <w:numId w:val="8"/>
        </w:numPr>
        <w:spacing w:after="0"/>
        <w:rPr>
          <w:rFonts w:ascii="Arial" w:hAnsi="Arial" w:cs="Arial"/>
        </w:rPr>
      </w:pPr>
      <w:r w:rsidRPr="00A029E2">
        <w:rPr>
          <w:rFonts w:ascii="Arial" w:hAnsi="Arial" w:cs="Arial"/>
        </w:rPr>
        <w:t xml:space="preserve">The annual leave entitlement is 35 working days, pro rata for proportional </w:t>
      </w:r>
      <w:r>
        <w:rPr>
          <w:rFonts w:ascii="Arial" w:hAnsi="Arial" w:cs="Arial"/>
        </w:rPr>
        <w:t>part-time</w:t>
      </w:r>
      <w:r w:rsidR="00102E39">
        <w:rPr>
          <w:rFonts w:ascii="Arial" w:hAnsi="Arial" w:cs="Arial"/>
        </w:rPr>
        <w:t xml:space="preserve"> staff. </w:t>
      </w:r>
      <w:r w:rsidRPr="00A029E2">
        <w:rPr>
          <w:rFonts w:ascii="Arial" w:hAnsi="Arial" w:cs="Arial"/>
        </w:rPr>
        <w:t>This is in addition to the statutory holidays applicable in England, local discretionary holidays and days when the university is closed in the interests of efficiency</w:t>
      </w:r>
      <w:r>
        <w:rPr>
          <w:rFonts w:ascii="Arial" w:hAnsi="Arial" w:cs="Arial"/>
        </w:rPr>
        <w:t>.</w:t>
      </w:r>
    </w:p>
    <w:p w14:paraId="06408732" w14:textId="4961028B" w:rsidR="0035277F" w:rsidRDefault="0035277F" w:rsidP="00CD3832">
      <w:pPr>
        <w:pStyle w:val="ListParagraph"/>
        <w:numPr>
          <w:ilvl w:val="0"/>
          <w:numId w:val="8"/>
        </w:numPr>
        <w:spacing w:after="0"/>
        <w:rPr>
          <w:rFonts w:ascii="Arial" w:hAnsi="Arial" w:cs="Arial"/>
        </w:rPr>
      </w:pPr>
      <w:r w:rsidRPr="004E2BC3">
        <w:rPr>
          <w:rFonts w:ascii="Arial" w:hAnsi="Arial" w:cs="Arial"/>
        </w:rPr>
        <w:t>The full time</w:t>
      </w:r>
      <w:r w:rsidR="000650C6">
        <w:rPr>
          <w:rFonts w:ascii="Arial" w:hAnsi="Arial" w:cs="Arial"/>
        </w:rPr>
        <w:t xml:space="preserve"> equivalent of this post is 0.5</w:t>
      </w:r>
      <w:r w:rsidR="00E3742B" w:rsidRPr="004E2BC3">
        <w:rPr>
          <w:rFonts w:ascii="Arial" w:hAnsi="Arial" w:cs="Arial"/>
        </w:rPr>
        <w:t>fte.</w:t>
      </w:r>
      <w:r w:rsidRPr="00E63F90">
        <w:rPr>
          <w:rFonts w:ascii="Arial" w:hAnsi="Arial" w:cs="Arial"/>
        </w:rPr>
        <w:t xml:space="preserv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3E17CB98" w14:textId="77777777" w:rsidR="00102E39" w:rsidRPr="00E63F90" w:rsidRDefault="00102E39" w:rsidP="00102E39">
      <w:pPr>
        <w:pStyle w:val="ListParagraph"/>
        <w:spacing w:after="0"/>
        <w:jc w:val="both"/>
        <w:rPr>
          <w:rFonts w:ascii="Arial" w:hAnsi="Arial" w:cs="Arial"/>
        </w:rPr>
      </w:pPr>
    </w:p>
    <w:p w14:paraId="748F500B"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art and design</w:t>
      </w:r>
    </w:p>
    <w:p w14:paraId="38FEAFC1"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business/management</w:t>
      </w:r>
    </w:p>
    <w:p w14:paraId="1DA95F66"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health - clinically related subjects</w:t>
      </w:r>
    </w:p>
    <w:p w14:paraId="05BD8F32" w14:textId="77777777" w:rsid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construction management</w:t>
      </w:r>
    </w:p>
    <w:p w14:paraId="63BF5474" w14:textId="77777777" w:rsidR="00102E39" w:rsidRPr="0035277F" w:rsidRDefault="00102E39" w:rsidP="00102E39">
      <w:pPr>
        <w:pStyle w:val="ListParagraph"/>
        <w:spacing w:after="0"/>
        <w:ind w:left="1418"/>
        <w:jc w:val="both"/>
        <w:rPr>
          <w:rFonts w:ascii="Arial" w:hAnsi="Arial" w:cs="Arial"/>
        </w:rPr>
      </w:pPr>
    </w:p>
    <w:p w14:paraId="542B1B0C" w14:textId="77777777" w:rsidR="0035277F" w:rsidRPr="0066046A" w:rsidRDefault="0035277F" w:rsidP="00E63F90">
      <w:pPr>
        <w:pStyle w:val="ListParagraph"/>
        <w:spacing w:after="0"/>
        <w:jc w:val="both"/>
        <w:rPr>
          <w:rFonts w:ascii="Arial" w:hAnsi="Arial" w:cs="Arial"/>
        </w:rPr>
      </w:pPr>
      <w:r w:rsidRPr="0035277F">
        <w:rPr>
          <w:rFonts w:ascii="Arial" w:hAnsi="Arial" w:cs="Arial"/>
        </w:rPr>
        <w:t>The 550 hour annual maximum will not, however, be exceeded except by mutually agreed overtime.</w:t>
      </w:r>
    </w:p>
    <w:p w14:paraId="33B1B6E4" w14:textId="57D986DF" w:rsidR="001456D0" w:rsidRPr="000D48AF" w:rsidRDefault="001456D0" w:rsidP="00177727">
      <w:pPr>
        <w:pStyle w:val="ListParagraph"/>
        <w:numPr>
          <w:ilvl w:val="0"/>
          <w:numId w:val="8"/>
        </w:numPr>
        <w:spacing w:after="0"/>
        <w:jc w:val="both"/>
        <w:rPr>
          <w:rFonts w:ascii="Arial" w:hAnsi="Arial" w:cs="Arial"/>
        </w:rPr>
      </w:pPr>
      <w:r>
        <w:rPr>
          <w:rFonts w:ascii="Arial" w:hAnsi="Arial" w:cs="Arial"/>
        </w:rPr>
        <w:t>More information about the department</w:t>
      </w:r>
      <w:r w:rsidR="00AF0D3F">
        <w:rPr>
          <w:rFonts w:ascii="Arial" w:hAnsi="Arial" w:cs="Arial"/>
        </w:rPr>
        <w:t xml:space="preserve"> can be found </w:t>
      </w:r>
      <w:r w:rsidR="00102E39" w:rsidRPr="00102E39">
        <w:rPr>
          <w:rFonts w:ascii="Arial" w:hAnsi="Arial" w:cs="Arial"/>
        </w:rPr>
        <w:t>on the University’s</w:t>
      </w:r>
      <w:r w:rsidR="00102E39" w:rsidRPr="00102E39">
        <w:t xml:space="preserve"> </w:t>
      </w:r>
      <w:r w:rsidR="00102E39" w:rsidRPr="00102E39">
        <w:rPr>
          <w:rFonts w:ascii="Arial" w:hAnsi="Arial" w:cs="Arial"/>
        </w:rPr>
        <w:t>website</w:t>
      </w:r>
    </w:p>
    <w:p w14:paraId="6D553E52" w14:textId="7BB931AB" w:rsidR="000D48AF" w:rsidRPr="000D48AF" w:rsidRDefault="000D48AF" w:rsidP="00945B85">
      <w:pPr>
        <w:pStyle w:val="ListParagraph"/>
        <w:numPr>
          <w:ilvl w:val="0"/>
          <w:numId w:val="8"/>
        </w:numPr>
        <w:spacing w:after="0"/>
        <w:jc w:val="both"/>
        <w:rPr>
          <w:rFonts w:ascii="Arial" w:hAnsi="Arial" w:cs="Arial"/>
        </w:rPr>
      </w:pPr>
      <w:r w:rsidRPr="000D48AF">
        <w:rPr>
          <w:rFonts w:ascii="Arial" w:hAnsi="Arial" w:cs="Arial"/>
        </w:rPr>
        <w:t>Read the</w:t>
      </w:r>
      <w:r>
        <w:rPr>
          <w:rFonts w:ascii="Arial" w:hAnsi="Arial" w:cs="Arial"/>
        </w:rPr>
        <w:t xml:space="preserve"> University’s </w:t>
      </w:r>
      <w:hyperlink r:id="rId15" w:history="1">
        <w:r w:rsidRPr="000D48AF">
          <w:rPr>
            <w:rStyle w:val="Hyperlink"/>
            <w:rFonts w:ascii="Arial" w:hAnsi="Arial" w:cs="Arial"/>
          </w:rPr>
          <w:t>2016 - 2021 Strategy</w:t>
        </w:r>
      </w:hyperlink>
      <w:r w:rsidRPr="000D48AF">
        <w:rPr>
          <w:rFonts w:ascii="Arial" w:hAnsi="Arial" w:cs="Arial"/>
        </w:rPr>
        <w:t xml:space="preserve"> </w:t>
      </w:r>
    </w:p>
    <w:p w14:paraId="3A53FA49" w14:textId="4950E8B8" w:rsidR="00177727" w:rsidRDefault="00177727" w:rsidP="00177727">
      <w:pPr>
        <w:pStyle w:val="ListParagraph"/>
        <w:numPr>
          <w:ilvl w:val="0"/>
          <w:numId w:val="8"/>
        </w:numPr>
        <w:spacing w:after="0"/>
        <w:jc w:val="both"/>
        <w:rPr>
          <w:rFonts w:ascii="Arial" w:hAnsi="Arial" w:cs="Arial"/>
        </w:rPr>
      </w:pPr>
      <w:r w:rsidRPr="00177727">
        <w:rPr>
          <w:rFonts w:ascii="Arial" w:hAnsi="Arial" w:cs="Arial"/>
        </w:rPr>
        <w:t>The University has an attractive range of benefits and you can find more information about them on our website.</w:t>
      </w:r>
    </w:p>
    <w:p w14:paraId="7446B5F3" w14:textId="0BCE424C" w:rsidR="0035277F" w:rsidRPr="00A029E2" w:rsidRDefault="0035277F" w:rsidP="0035277F">
      <w:pPr>
        <w:pStyle w:val="Heading2"/>
        <w:rPr>
          <w:sz w:val="22"/>
          <w:szCs w:val="22"/>
        </w:rPr>
      </w:pPr>
      <w:r w:rsidRPr="00A029E2">
        <w:rPr>
          <w:sz w:val="22"/>
          <w:szCs w:val="22"/>
        </w:rPr>
        <w:t>Professional development</w:t>
      </w:r>
      <w:r w:rsidR="00EB0C90">
        <w:rPr>
          <w:sz w:val="22"/>
          <w:szCs w:val="22"/>
        </w:rPr>
        <w:t xml:space="preserve">/teaching </w:t>
      </w:r>
      <w:r w:rsidRPr="00A029E2">
        <w:rPr>
          <w:sz w:val="22"/>
          <w:szCs w:val="22"/>
        </w:rPr>
        <w:t xml:space="preserve"> </w:t>
      </w:r>
    </w:p>
    <w:p w14:paraId="5CC5B5EA" w14:textId="29D23146" w:rsidR="0035277F" w:rsidRPr="004A1203" w:rsidRDefault="0035277F" w:rsidP="0035277F">
      <w:pPr>
        <w:rPr>
          <w:rFonts w:ascii="Arial" w:hAnsi="Arial" w:cs="Arial"/>
        </w:rPr>
      </w:pPr>
      <w:r w:rsidRPr="004A1203">
        <w:rPr>
          <w:rFonts w:ascii="Arial" w:hAnsi="Arial" w:cs="Arial"/>
        </w:rPr>
        <w:t xml:space="preserve">Four part-time courses are run within the </w:t>
      </w:r>
      <w:r w:rsidR="00EB0C90">
        <w:rPr>
          <w:rFonts w:ascii="Arial" w:hAnsi="Arial" w:cs="Arial"/>
        </w:rPr>
        <w:t>University for s</w:t>
      </w:r>
      <w:r w:rsidR="009D70D5" w:rsidRPr="004A1203">
        <w:rPr>
          <w:rFonts w:ascii="Arial" w:hAnsi="Arial" w:cs="Arial"/>
        </w:rPr>
        <w:t>taff</w:t>
      </w:r>
      <w:r w:rsidRPr="004A1203">
        <w:rPr>
          <w:rFonts w:ascii="Arial" w:hAnsi="Arial" w:cs="Arial"/>
        </w:rPr>
        <w:t xml:space="preserve"> new to the teaching role.  They are:</w:t>
      </w:r>
    </w:p>
    <w:p w14:paraId="27E0B178" w14:textId="77777777" w:rsidR="0035277F" w:rsidRPr="004A1203" w:rsidRDefault="0035277F" w:rsidP="0035277F">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72050BCD" w14:textId="77777777" w:rsidR="0035277F" w:rsidRPr="004A1203" w:rsidRDefault="0035277F" w:rsidP="0035277F">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Health and Social Care Education (run by the School of Nursing and Midwifery, for staff within the school);</w:t>
      </w:r>
    </w:p>
    <w:p w14:paraId="37B67B14" w14:textId="77777777" w:rsidR="00EB0C90" w:rsidRDefault="0035277F" w:rsidP="009B7C1B">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Clinical Education (run by the School of Health Professions, for staff within the school);</w:t>
      </w:r>
      <w:r w:rsidR="00EB0C90">
        <w:rPr>
          <w:rFonts w:ascii="Arial" w:hAnsi="Arial" w:cs="Arial"/>
        </w:rPr>
        <w:t xml:space="preserve"> </w:t>
      </w:r>
    </w:p>
    <w:p w14:paraId="6B089E0B" w14:textId="3B4B6E18" w:rsidR="0035277F" w:rsidRDefault="0035277F" w:rsidP="009B7C1B">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Medical Education (run by Medical Education Unit).</w:t>
      </w:r>
    </w:p>
    <w:p w14:paraId="02BA2C8A" w14:textId="77777777" w:rsidR="00EB0C90" w:rsidRPr="00EB0C90" w:rsidRDefault="00EB0C90" w:rsidP="00EB0C90">
      <w:pPr>
        <w:widowControl w:val="0"/>
        <w:spacing w:after="0" w:line="240" w:lineRule="atLeast"/>
        <w:rPr>
          <w:rFonts w:ascii="Arial" w:hAnsi="Arial" w:cs="Arial"/>
        </w:rPr>
      </w:pPr>
    </w:p>
    <w:p w14:paraId="63020308" w14:textId="00CD7BD3" w:rsidR="0035277F" w:rsidRPr="004A1203" w:rsidRDefault="0035277F" w:rsidP="00EB0C90">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higher 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1448904" w14:textId="77777777" w:rsidR="004A1203" w:rsidRPr="004A1203" w:rsidRDefault="004A1203" w:rsidP="004A1203">
      <w:pPr>
        <w:widowControl w:val="0"/>
        <w:spacing w:after="0" w:line="240" w:lineRule="atLeast"/>
        <w:ind w:left="426"/>
        <w:rPr>
          <w:rFonts w:ascii="Arial" w:hAnsi="Arial" w:cs="Arial"/>
        </w:rPr>
      </w:pPr>
    </w:p>
    <w:p w14:paraId="5F3B2BC3" w14:textId="754758F4" w:rsidR="0035277F" w:rsidRPr="004A1203" w:rsidRDefault="0035277F" w:rsidP="00EB0C90">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63B015F6" w14:textId="77777777" w:rsidR="004A1203" w:rsidRPr="004A1203" w:rsidRDefault="004A1203" w:rsidP="004A1203">
      <w:pPr>
        <w:widowControl w:val="0"/>
        <w:spacing w:after="0" w:line="240" w:lineRule="atLeast"/>
        <w:ind w:left="426"/>
        <w:rPr>
          <w:rFonts w:ascii="Arial" w:hAnsi="Arial" w:cs="Arial"/>
        </w:rPr>
      </w:pPr>
    </w:p>
    <w:p w14:paraId="7C0ABA38" w14:textId="2433C7BE" w:rsidR="0035277F" w:rsidRPr="004A1203" w:rsidRDefault="0035277F" w:rsidP="00EB0C90">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sidR="00EB0C90">
        <w:rPr>
          <w:rFonts w:ascii="Arial" w:hAnsi="Arial" w:cs="Arial"/>
        </w:rPr>
        <w:t xml:space="preserve">formation is available from their </w:t>
      </w:r>
      <w:hyperlink r:id="rId16" w:history="1">
        <w:r w:rsidR="00EB0C90" w:rsidRPr="00EB0C90">
          <w:rPr>
            <w:rFonts w:ascii="Arial" w:hAnsi="Arial" w:cs="Arial"/>
            <w:color w:val="002060"/>
            <w:u w:val="single"/>
          </w:rPr>
          <w:t>webpages</w:t>
        </w:r>
      </w:hyperlink>
      <w:r w:rsidR="00EB0C90" w:rsidRPr="00EB0C90">
        <w:rPr>
          <w:rFonts w:ascii="Arial" w:hAnsi="Arial" w:cs="Arial"/>
          <w:u w:val="single"/>
        </w:rPr>
        <w:t>.</w:t>
      </w:r>
      <w:r w:rsidR="00EB0C90" w:rsidRPr="00EB0C90">
        <w:t xml:space="preserve">  </w:t>
      </w:r>
    </w:p>
    <w:p w14:paraId="12342723" w14:textId="77777777" w:rsidR="004A1203" w:rsidRDefault="004A1203" w:rsidP="0035277F">
      <w:pPr>
        <w:widowControl w:val="0"/>
        <w:ind w:left="2196" w:hanging="2196"/>
        <w:rPr>
          <w:rFonts w:ascii="Arial" w:hAnsi="Arial" w:cs="Arial"/>
          <w:b/>
        </w:rPr>
      </w:pPr>
    </w:p>
    <w:p w14:paraId="75A08AEA" w14:textId="77777777" w:rsidR="0035277F" w:rsidRDefault="0035277F" w:rsidP="0035277F">
      <w:pPr>
        <w:widowControl w:val="0"/>
        <w:ind w:left="2196" w:hanging="2196"/>
        <w:rPr>
          <w:rFonts w:ascii="Arial" w:hAnsi="Arial" w:cs="Arial"/>
          <w:b/>
        </w:rPr>
      </w:pPr>
      <w:r w:rsidRPr="00A029E2">
        <w:rPr>
          <w:rFonts w:ascii="Arial" w:hAnsi="Arial" w:cs="Arial"/>
          <w:b/>
        </w:rPr>
        <w:t>Terms &amp; conditions</w:t>
      </w:r>
    </w:p>
    <w:p w14:paraId="2AFE201B" w14:textId="77777777" w:rsidR="0035277F" w:rsidRPr="00A029E2" w:rsidRDefault="0035277F" w:rsidP="0035277F">
      <w:pPr>
        <w:widowControl w:val="0"/>
        <w:rPr>
          <w:rFonts w:ascii="Arial" w:hAnsi="Arial" w:cs="Arial"/>
        </w:rPr>
      </w:pPr>
      <w:r w:rsidRPr="00A029E2">
        <w:rPr>
          <w:rFonts w:ascii="Arial" w:hAnsi="Arial" w:cs="Arial"/>
        </w:rPr>
        <w:t>In determining terms and conditions of employment, the university has regard to recommendations made through the appropriate national negotiating framework.  These terms and conditions of service can be varied by local agreements reached through the university’s local negotiating framework which comprises a Joint Negotiating Committee supported by two Common Interest Groups.  These groups bring together representatives of the university and its recognised trade unions, which are:</w:t>
      </w:r>
    </w:p>
    <w:p w14:paraId="72227144" w14:textId="77777777" w:rsidR="0035277F" w:rsidRPr="00165C22" w:rsidRDefault="0035277F" w:rsidP="0035277F">
      <w:pPr>
        <w:pStyle w:val="ListParagraph"/>
        <w:widowControl w:val="0"/>
        <w:numPr>
          <w:ilvl w:val="1"/>
          <w:numId w:val="14"/>
        </w:numPr>
        <w:tabs>
          <w:tab w:val="left" w:pos="2316"/>
        </w:tabs>
        <w:rPr>
          <w:rFonts w:ascii="Arial" w:hAnsi="Arial" w:cs="Arial"/>
        </w:rPr>
      </w:pPr>
      <w:r w:rsidRPr="00165C22">
        <w:rPr>
          <w:rFonts w:ascii="Arial" w:hAnsi="Arial" w:cs="Arial"/>
        </w:rPr>
        <w:t>UCU – University and College Union</w:t>
      </w:r>
    </w:p>
    <w:p w14:paraId="2E602628" w14:textId="77777777" w:rsidR="0035277F" w:rsidRPr="00165C22" w:rsidRDefault="0035277F" w:rsidP="0035277F">
      <w:pPr>
        <w:pStyle w:val="ListParagraph"/>
        <w:widowControl w:val="0"/>
        <w:numPr>
          <w:ilvl w:val="1"/>
          <w:numId w:val="14"/>
        </w:numPr>
        <w:tabs>
          <w:tab w:val="left" w:pos="2316"/>
        </w:tabs>
        <w:rPr>
          <w:rFonts w:ascii="Arial" w:hAnsi="Arial" w:cs="Arial"/>
        </w:rPr>
      </w:pPr>
      <w:r w:rsidRPr="00165C22">
        <w:rPr>
          <w:rFonts w:ascii="Arial" w:hAnsi="Arial" w:cs="Arial"/>
        </w:rPr>
        <w:t>UNISON</w:t>
      </w:r>
    </w:p>
    <w:p w14:paraId="39A4881A" w14:textId="77777777" w:rsidR="0035277F" w:rsidRDefault="0035277F" w:rsidP="0035277F">
      <w:pPr>
        <w:pStyle w:val="NormalWeb"/>
        <w:spacing w:line="300" w:lineRule="atLeast"/>
        <w:rPr>
          <w:rFonts w:ascii="Arial" w:hAnsi="Arial" w:cs="Arial"/>
          <w:color w:val="6D6E71"/>
          <w:sz w:val="21"/>
          <w:szCs w:val="21"/>
        </w:rPr>
      </w:pPr>
      <w:r>
        <w:rPr>
          <w:rFonts w:ascii="Arial" w:hAnsi="Arial" w:cs="Arial"/>
          <w:b/>
        </w:rPr>
        <w:t xml:space="preserve"> </w:t>
      </w:r>
      <w:r>
        <w:rPr>
          <w:rFonts w:ascii="Arial" w:hAnsi="Arial" w:cs="Arial"/>
          <w:color w:val="6D6E71"/>
          <w:sz w:val="21"/>
          <w:szCs w:val="21"/>
        </w:rPr>
        <w:t>The following information may also be useful for your application:</w:t>
      </w:r>
    </w:p>
    <w:p w14:paraId="1BB134A3" w14:textId="77777777" w:rsidR="0035277F" w:rsidRDefault="00515268" w:rsidP="0035277F">
      <w:pPr>
        <w:numPr>
          <w:ilvl w:val="0"/>
          <w:numId w:val="15"/>
        </w:numPr>
        <w:spacing w:before="100" w:beforeAutospacing="1" w:after="100" w:afterAutospacing="1" w:line="300" w:lineRule="atLeast"/>
        <w:ind w:left="375"/>
        <w:rPr>
          <w:rFonts w:ascii="Arial" w:hAnsi="Arial" w:cs="Arial"/>
          <w:color w:val="6D6E71"/>
          <w:sz w:val="21"/>
          <w:szCs w:val="21"/>
        </w:rPr>
      </w:pPr>
      <w:hyperlink r:id="rId17" w:tooltip="Research at the university" w:history="1">
        <w:r w:rsidR="0035277F">
          <w:rPr>
            <w:rStyle w:val="Hyperlink"/>
            <w:sz w:val="21"/>
            <w:szCs w:val="21"/>
          </w:rPr>
          <w:t xml:space="preserve">Research at the university </w:t>
        </w:r>
      </w:hyperlink>
    </w:p>
    <w:p w14:paraId="783D219C" w14:textId="77777777" w:rsidR="0035277F" w:rsidRDefault="00515268" w:rsidP="0035277F">
      <w:pPr>
        <w:numPr>
          <w:ilvl w:val="0"/>
          <w:numId w:val="15"/>
        </w:numPr>
        <w:spacing w:before="100" w:beforeAutospacing="1" w:after="100" w:afterAutospacing="1" w:line="300" w:lineRule="atLeast"/>
        <w:ind w:left="375"/>
        <w:rPr>
          <w:rFonts w:ascii="Arial" w:hAnsi="Arial" w:cs="Arial"/>
          <w:color w:val="6D6E71"/>
          <w:sz w:val="21"/>
          <w:szCs w:val="21"/>
        </w:rPr>
      </w:pPr>
      <w:hyperlink r:id="rId18" w:tooltip="Academic departments" w:history="1">
        <w:r w:rsidR="0035277F">
          <w:rPr>
            <w:rStyle w:val="Hyperlink"/>
            <w:sz w:val="21"/>
            <w:szCs w:val="21"/>
          </w:rPr>
          <w:t xml:space="preserve">Academic departments (schools and colleges) </w:t>
        </w:r>
      </w:hyperlink>
    </w:p>
    <w:p w14:paraId="5C3F5A0D" w14:textId="77777777" w:rsidR="0035277F" w:rsidRDefault="00515268" w:rsidP="0035277F">
      <w:pPr>
        <w:numPr>
          <w:ilvl w:val="0"/>
          <w:numId w:val="15"/>
        </w:numPr>
        <w:spacing w:before="100" w:beforeAutospacing="1" w:after="100" w:afterAutospacing="1" w:line="300" w:lineRule="atLeast"/>
        <w:ind w:left="375"/>
        <w:rPr>
          <w:rFonts w:ascii="Arial" w:hAnsi="Arial" w:cs="Arial"/>
          <w:color w:val="6D6E71"/>
          <w:sz w:val="21"/>
          <w:szCs w:val="21"/>
        </w:rPr>
      </w:pPr>
      <w:hyperlink r:id="rId19" w:tooltip="Administrative and support departments" w:history="1">
        <w:r w:rsidR="0035277F">
          <w:rPr>
            <w:rStyle w:val="Hyperlink"/>
            <w:sz w:val="21"/>
            <w:szCs w:val="21"/>
          </w:rPr>
          <w:t xml:space="preserve">Administrative and support departments </w:t>
        </w:r>
      </w:hyperlink>
    </w:p>
    <w:p w14:paraId="55BA3C3A" w14:textId="77777777" w:rsidR="00193092" w:rsidRDefault="00193092" w:rsidP="00193092">
      <w:pPr>
        <w:rPr>
          <w:rFonts w:ascii="Arial" w:hAnsi="Arial" w:cs="Arial"/>
          <w:b/>
        </w:rPr>
      </w:pPr>
    </w:p>
    <w:p w14:paraId="721FC6FD" w14:textId="24617D09" w:rsidR="00F16465" w:rsidRDefault="000650C6" w:rsidP="00193092">
      <w:pPr>
        <w:rPr>
          <w:rFonts w:ascii="Arial" w:hAnsi="Arial" w:cs="Arial"/>
          <w:b/>
        </w:rPr>
      </w:pPr>
      <w:r>
        <w:rPr>
          <w:rFonts w:ascii="Arial" w:hAnsi="Arial" w:cs="Arial"/>
          <w:b/>
        </w:rPr>
        <w:t>CG/BMcG April 24//4/18</w:t>
      </w:r>
    </w:p>
    <w:p w14:paraId="0B3B8B99" w14:textId="77777777" w:rsidR="00F16465" w:rsidRDefault="00F16465" w:rsidP="00193092">
      <w:pPr>
        <w:rPr>
          <w:rFonts w:ascii="Arial" w:hAnsi="Arial" w:cs="Arial"/>
          <w:b/>
        </w:rPr>
      </w:pPr>
    </w:p>
    <w:p w14:paraId="5EDC773C" w14:textId="77777777" w:rsidR="00F16465" w:rsidRDefault="00F16465" w:rsidP="00193092">
      <w:pPr>
        <w:rPr>
          <w:rFonts w:ascii="Arial" w:hAnsi="Arial" w:cs="Arial"/>
          <w:b/>
        </w:rPr>
      </w:pPr>
    </w:p>
    <w:p w14:paraId="55B24C9D" w14:textId="77777777" w:rsidR="00F16465" w:rsidRDefault="00F16465" w:rsidP="00193092">
      <w:pPr>
        <w:rPr>
          <w:rFonts w:ascii="Arial" w:hAnsi="Arial" w:cs="Arial"/>
          <w:b/>
        </w:rPr>
      </w:pPr>
    </w:p>
    <w:p w14:paraId="276CA97B" w14:textId="77777777" w:rsidR="00F16465" w:rsidRDefault="00F16465" w:rsidP="00193092">
      <w:pPr>
        <w:rPr>
          <w:rFonts w:ascii="Arial" w:hAnsi="Arial" w:cs="Arial"/>
          <w:b/>
        </w:rPr>
      </w:pPr>
    </w:p>
    <w:p w14:paraId="3AD8A14C" w14:textId="77777777" w:rsidR="00F16465" w:rsidRDefault="00F16465" w:rsidP="00193092">
      <w:pPr>
        <w:rPr>
          <w:rFonts w:ascii="Arial" w:hAnsi="Arial" w:cs="Arial"/>
          <w:b/>
        </w:rPr>
      </w:pPr>
    </w:p>
    <w:p w14:paraId="7BFAE005" w14:textId="77777777" w:rsidR="00F16465" w:rsidRDefault="00F16465" w:rsidP="00193092">
      <w:pPr>
        <w:rPr>
          <w:rFonts w:ascii="Arial" w:hAnsi="Arial" w:cs="Arial"/>
          <w:b/>
        </w:rPr>
      </w:pPr>
    </w:p>
    <w:p w14:paraId="64A56A2A" w14:textId="77777777" w:rsidR="00193092" w:rsidRDefault="00193092" w:rsidP="00193092">
      <w:pPr>
        <w:rPr>
          <w:rFonts w:ascii="Arial" w:hAnsi="Arial" w:cs="Arial"/>
          <w:b/>
        </w:rPr>
      </w:pPr>
    </w:p>
    <w:sectPr w:rsidR="00193092">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027CE" w14:textId="77777777" w:rsidR="00B95C70" w:rsidRDefault="00B95C70" w:rsidP="000742F4">
      <w:pPr>
        <w:spacing w:after="0" w:line="240" w:lineRule="auto"/>
      </w:pPr>
      <w:r>
        <w:separator/>
      </w:r>
    </w:p>
  </w:endnote>
  <w:endnote w:type="continuationSeparator" w:id="0">
    <w:p w14:paraId="4AE0A56D" w14:textId="77777777" w:rsidR="00B95C70" w:rsidRDefault="00B95C70"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1C12" w14:textId="42374C4D"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C8F10" w14:textId="77777777" w:rsidR="00B95C70" w:rsidRDefault="00B95C70" w:rsidP="000742F4">
      <w:pPr>
        <w:spacing w:after="0" w:line="240" w:lineRule="auto"/>
      </w:pPr>
      <w:r>
        <w:separator/>
      </w:r>
    </w:p>
  </w:footnote>
  <w:footnote w:type="continuationSeparator" w:id="0">
    <w:p w14:paraId="5B0D5145" w14:textId="77777777" w:rsidR="00B95C70" w:rsidRDefault="00B95C70" w:rsidP="00074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6C38"/>
    <w:multiLevelType w:val="hybridMultilevel"/>
    <w:tmpl w:val="D1040022"/>
    <w:lvl w:ilvl="0" w:tplc="4574EE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EF21D5"/>
    <w:multiLevelType w:val="hybridMultilevel"/>
    <w:tmpl w:val="F8E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4104C5"/>
    <w:multiLevelType w:val="hybridMultilevel"/>
    <w:tmpl w:val="E5907E9A"/>
    <w:lvl w:ilvl="0" w:tplc="4574EE7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D040F6"/>
    <w:multiLevelType w:val="hybridMultilevel"/>
    <w:tmpl w:val="B874C6C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6251028A"/>
    <w:multiLevelType w:val="hybridMultilevel"/>
    <w:tmpl w:val="1546A2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7">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5F5CCD"/>
    <w:multiLevelType w:val="hybridMultilevel"/>
    <w:tmpl w:val="822A1BE4"/>
    <w:lvl w:ilvl="0" w:tplc="4574EE7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18"/>
  </w:num>
  <w:num w:numId="5">
    <w:abstractNumId w:val="9"/>
  </w:num>
  <w:num w:numId="6">
    <w:abstractNumId w:val="3"/>
  </w:num>
  <w:num w:numId="7">
    <w:abstractNumId w:val="5"/>
  </w:num>
  <w:num w:numId="8">
    <w:abstractNumId w:val="4"/>
  </w:num>
  <w:num w:numId="9">
    <w:abstractNumId w:val="12"/>
  </w:num>
  <w:num w:numId="10">
    <w:abstractNumId w:val="1"/>
  </w:num>
  <w:num w:numId="11">
    <w:abstractNumId w:val="2"/>
  </w:num>
  <w:num w:numId="12">
    <w:abstractNumId w:val="7"/>
  </w:num>
  <w:num w:numId="13">
    <w:abstractNumId w:val="15"/>
  </w:num>
  <w:num w:numId="14">
    <w:abstractNumId w:val="22"/>
  </w:num>
  <w:num w:numId="15">
    <w:abstractNumId w:val="6"/>
  </w:num>
  <w:num w:numId="16">
    <w:abstractNumId w:val="16"/>
  </w:num>
  <w:num w:numId="17">
    <w:abstractNumId w:val="8"/>
  </w:num>
  <w:num w:numId="18">
    <w:abstractNumId w:val="10"/>
  </w:num>
  <w:num w:numId="19">
    <w:abstractNumId w:val="14"/>
  </w:num>
  <w:num w:numId="20">
    <w:abstractNumId w:val="13"/>
  </w:num>
  <w:num w:numId="21">
    <w:abstractNumId w:val="1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71"/>
    <w:rsid w:val="00006C32"/>
    <w:rsid w:val="0004514C"/>
    <w:rsid w:val="0004743D"/>
    <w:rsid w:val="0005761B"/>
    <w:rsid w:val="000650C6"/>
    <w:rsid w:val="000742F4"/>
    <w:rsid w:val="000849AB"/>
    <w:rsid w:val="000D48AF"/>
    <w:rsid w:val="000F2A45"/>
    <w:rsid w:val="00102E39"/>
    <w:rsid w:val="001456D0"/>
    <w:rsid w:val="00177727"/>
    <w:rsid w:val="00193092"/>
    <w:rsid w:val="0023731B"/>
    <w:rsid w:val="002409F7"/>
    <w:rsid w:val="00250BB9"/>
    <w:rsid w:val="00294B38"/>
    <w:rsid w:val="002E5D71"/>
    <w:rsid w:val="0030586C"/>
    <w:rsid w:val="00350424"/>
    <w:rsid w:val="0035277F"/>
    <w:rsid w:val="003648EB"/>
    <w:rsid w:val="003A6FCD"/>
    <w:rsid w:val="003B1D54"/>
    <w:rsid w:val="003D0706"/>
    <w:rsid w:val="003E1BDE"/>
    <w:rsid w:val="003E6249"/>
    <w:rsid w:val="003F08D0"/>
    <w:rsid w:val="0043279C"/>
    <w:rsid w:val="004A1203"/>
    <w:rsid w:val="004E2BC3"/>
    <w:rsid w:val="00515268"/>
    <w:rsid w:val="0054409E"/>
    <w:rsid w:val="00546618"/>
    <w:rsid w:val="005A2304"/>
    <w:rsid w:val="005A27CE"/>
    <w:rsid w:val="005C1C9E"/>
    <w:rsid w:val="005D5354"/>
    <w:rsid w:val="005E1A53"/>
    <w:rsid w:val="005F435A"/>
    <w:rsid w:val="005F7418"/>
    <w:rsid w:val="00623C07"/>
    <w:rsid w:val="006372DE"/>
    <w:rsid w:val="00664507"/>
    <w:rsid w:val="006A565C"/>
    <w:rsid w:val="006C19B1"/>
    <w:rsid w:val="006F7241"/>
    <w:rsid w:val="00707C7F"/>
    <w:rsid w:val="00725041"/>
    <w:rsid w:val="00733293"/>
    <w:rsid w:val="00746DA0"/>
    <w:rsid w:val="007C3EDA"/>
    <w:rsid w:val="008016F9"/>
    <w:rsid w:val="008433D8"/>
    <w:rsid w:val="008869C2"/>
    <w:rsid w:val="00910B42"/>
    <w:rsid w:val="00922E48"/>
    <w:rsid w:val="009C18BB"/>
    <w:rsid w:val="009D70D5"/>
    <w:rsid w:val="00A6540A"/>
    <w:rsid w:val="00A80963"/>
    <w:rsid w:val="00A87122"/>
    <w:rsid w:val="00A90952"/>
    <w:rsid w:val="00A965A8"/>
    <w:rsid w:val="00AB523C"/>
    <w:rsid w:val="00AF0D3F"/>
    <w:rsid w:val="00B30E4E"/>
    <w:rsid w:val="00B95C70"/>
    <w:rsid w:val="00C04725"/>
    <w:rsid w:val="00C2109F"/>
    <w:rsid w:val="00C53FCA"/>
    <w:rsid w:val="00C7770F"/>
    <w:rsid w:val="00C82F11"/>
    <w:rsid w:val="00C967DE"/>
    <w:rsid w:val="00CA1FF7"/>
    <w:rsid w:val="00CA56D7"/>
    <w:rsid w:val="00CA6B22"/>
    <w:rsid w:val="00CD3832"/>
    <w:rsid w:val="00CE15D8"/>
    <w:rsid w:val="00D400C4"/>
    <w:rsid w:val="00DB4BB9"/>
    <w:rsid w:val="00DB5F14"/>
    <w:rsid w:val="00DC5250"/>
    <w:rsid w:val="00DE22AF"/>
    <w:rsid w:val="00E22E98"/>
    <w:rsid w:val="00E3742B"/>
    <w:rsid w:val="00E63F90"/>
    <w:rsid w:val="00E73CF9"/>
    <w:rsid w:val="00E97503"/>
    <w:rsid w:val="00EB0C90"/>
    <w:rsid w:val="00EB4565"/>
    <w:rsid w:val="00EC6878"/>
    <w:rsid w:val="00EF164E"/>
    <w:rsid w:val="00F16465"/>
    <w:rsid w:val="00F24227"/>
    <w:rsid w:val="00F2755E"/>
    <w:rsid w:val="00FB1CB1"/>
    <w:rsid w:val="00FE1D2B"/>
    <w:rsid w:val="00FF1C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brighton.ac.uk/About-us/Contact-us/Academic-departments/index.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www.brighton.ac.uk/Research/index.aspx" TargetMode="External"/><Relationship Id="rId2" Type="http://schemas.openxmlformats.org/officeDocument/2006/relationships/customXml" Target="../customXml/item2.xml"/><Relationship Id="rId16" Type="http://schemas.openxmlformats.org/officeDocument/2006/relationships/hyperlink" Target="https://staff.brighton.ac.uk/clt/Pages/CLT-hom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taff.brighton.ac.uk/strategy/Pages/Welcome.aspx?dm_i=1SNX,4KBXD,MQS1JL,GXL92,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righton.ac.uk/About-us/Contact-us/Professional-services-departments/index.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635709701B449B6C50439D1F902DE" ma:contentTypeVersion="0" ma:contentTypeDescription="Create a new document." ma:contentTypeScope="" ma:versionID="9c121fd64925b07c7abeaae1f41726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9ADA-4655-4092-8E7D-A948CB888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3A9454CD-E09A-489D-A9E3-B9082E7E8D81}">
  <ds:schemaRef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42F250D-CAD6-4CFD-A355-0B9F4752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Hird</dc:creator>
  <cp:lastModifiedBy>Debbie Sherman</cp:lastModifiedBy>
  <cp:revision>3</cp:revision>
  <cp:lastPrinted>2015-04-02T15:48:00Z</cp:lastPrinted>
  <dcterms:created xsi:type="dcterms:W3CDTF">2018-07-02T13:11:00Z</dcterms:created>
  <dcterms:modified xsi:type="dcterms:W3CDTF">2018-07-02T13:13:00Z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0x010100F17635709701B449B6C50439D1F902DE</vt:lpwstr>
  </property>
</Properties>
</file>