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71" w:rsidRDefault="008016F9" w:rsidP="002E5D71">
      <w:pPr>
        <w:rPr>
          <w:b/>
        </w:rPr>
      </w:pPr>
      <w:r>
        <w:rPr>
          <w:b/>
          <w:noProof/>
          <w:lang w:eastAsia="en-GB"/>
        </w:rPr>
        <w:drawing>
          <wp:inline distT="0" distB="0" distL="0" distR="0">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rsidR="008016F9" w:rsidRDefault="008016F9" w:rsidP="002E5D71">
      <w:pPr>
        <w:spacing w:after="0"/>
        <w:jc w:val="both"/>
        <w:rPr>
          <w:rFonts w:ascii="Arial" w:hAnsi="Arial" w:cs="Arial"/>
          <w:b/>
        </w:rPr>
      </w:pPr>
    </w:p>
    <w:p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rsidR="00707C7F" w:rsidRDefault="00707C7F" w:rsidP="002E5D71">
      <w:pPr>
        <w:spacing w:after="0"/>
        <w:jc w:val="both"/>
        <w:rPr>
          <w:rFonts w:ascii="Arial" w:hAnsi="Arial" w:cs="Arial"/>
          <w:b/>
        </w:rPr>
      </w:pPr>
    </w:p>
    <w:p w:rsidR="000742F4" w:rsidRPr="00640437" w:rsidRDefault="000742F4" w:rsidP="002E5D71">
      <w:pPr>
        <w:spacing w:after="0"/>
        <w:jc w:val="both"/>
        <w:rPr>
          <w:rFonts w:ascii="Arial" w:hAnsi="Arial" w:cs="Arial"/>
        </w:rPr>
      </w:pPr>
      <w:r w:rsidRPr="000742F4">
        <w:rPr>
          <w:rFonts w:ascii="Arial" w:hAnsi="Arial" w:cs="Arial"/>
          <w:b/>
        </w:rPr>
        <w:t>Job title:</w:t>
      </w:r>
      <w:r w:rsidR="00900CC3">
        <w:rPr>
          <w:rFonts w:ascii="Arial" w:hAnsi="Arial" w:cs="Arial"/>
          <w:b/>
        </w:rPr>
        <w:t xml:space="preserve"> </w:t>
      </w:r>
      <w:r w:rsidR="00640437">
        <w:rPr>
          <w:rFonts w:ascii="Arial" w:hAnsi="Arial" w:cs="Arial"/>
          <w:b/>
        </w:rPr>
        <w:tab/>
      </w:r>
      <w:r w:rsidR="00900CC3" w:rsidRPr="00640437">
        <w:rPr>
          <w:rFonts w:ascii="Arial" w:hAnsi="Arial" w:cs="Arial"/>
        </w:rPr>
        <w:t>Disability &amp; Dyslexia Team Mentor</w:t>
      </w:r>
    </w:p>
    <w:p w:rsidR="000742F4" w:rsidRDefault="000742F4" w:rsidP="002E5D71">
      <w:pPr>
        <w:spacing w:after="0"/>
        <w:jc w:val="both"/>
        <w:rPr>
          <w:rFonts w:ascii="Arial" w:hAnsi="Arial" w:cs="Arial"/>
          <w:b/>
        </w:rPr>
      </w:pPr>
    </w:p>
    <w:p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900CC3">
        <w:rPr>
          <w:rFonts w:ascii="Arial" w:hAnsi="Arial" w:cs="Arial"/>
          <w:color w:val="0070C0"/>
        </w:rPr>
        <w:t xml:space="preserve"> </w:t>
      </w:r>
      <w:r w:rsidR="00640437">
        <w:rPr>
          <w:rFonts w:ascii="Arial" w:hAnsi="Arial" w:cs="Arial"/>
          <w:color w:val="0070C0"/>
        </w:rPr>
        <w:tab/>
      </w:r>
      <w:r w:rsidR="00900CC3" w:rsidRPr="00640437">
        <w:rPr>
          <w:rFonts w:ascii="Arial" w:hAnsi="Arial" w:cs="Arial"/>
        </w:rPr>
        <w:t>Disability &amp; Dyslexia Team Manager</w:t>
      </w:r>
      <w:r w:rsidR="00177727" w:rsidRPr="00640437">
        <w:rPr>
          <w:rFonts w:ascii="Arial" w:hAnsi="Arial" w:cs="Arial"/>
          <w:color w:val="0070C0"/>
        </w:rPr>
        <w:tab/>
      </w:r>
      <w:r w:rsidR="00177727">
        <w:rPr>
          <w:rFonts w:ascii="Arial" w:hAnsi="Arial" w:cs="Arial"/>
          <w:color w:val="0070C0"/>
        </w:rPr>
        <w:tab/>
      </w:r>
    </w:p>
    <w:p w:rsidR="00177727" w:rsidRDefault="00177727" w:rsidP="002E5D71">
      <w:pPr>
        <w:spacing w:after="0"/>
        <w:jc w:val="both"/>
        <w:rPr>
          <w:rFonts w:ascii="Arial" w:hAnsi="Arial" w:cs="Arial"/>
          <w:b/>
        </w:rPr>
      </w:pPr>
    </w:p>
    <w:p w:rsidR="002E5D71" w:rsidRPr="000742F4" w:rsidRDefault="002E5D71" w:rsidP="002E5D71">
      <w:pPr>
        <w:spacing w:after="0"/>
        <w:jc w:val="both"/>
        <w:rPr>
          <w:rFonts w:ascii="Arial" w:hAnsi="Arial" w:cs="Arial"/>
        </w:rPr>
      </w:pPr>
      <w:r w:rsidRPr="000742F4">
        <w:rPr>
          <w:rFonts w:ascii="Arial" w:hAnsi="Arial" w:cs="Arial"/>
          <w:b/>
        </w:rPr>
        <w:t>Department:</w:t>
      </w:r>
      <w:r w:rsidR="00900CC3">
        <w:rPr>
          <w:rFonts w:ascii="Arial" w:hAnsi="Arial" w:cs="Arial"/>
          <w:b/>
        </w:rPr>
        <w:t xml:space="preserve"> </w:t>
      </w:r>
      <w:r w:rsidR="00640437">
        <w:rPr>
          <w:rFonts w:ascii="Arial" w:hAnsi="Arial" w:cs="Arial"/>
          <w:b/>
        </w:rPr>
        <w:tab/>
      </w:r>
      <w:r w:rsidR="00900CC3" w:rsidRPr="00640437">
        <w:rPr>
          <w:rFonts w:ascii="Arial" w:hAnsi="Arial" w:cs="Arial"/>
        </w:rPr>
        <w:t xml:space="preserve">Student </w:t>
      </w:r>
      <w:r w:rsidR="00601DB9">
        <w:rPr>
          <w:rFonts w:ascii="Arial" w:hAnsi="Arial" w:cs="Arial"/>
        </w:rPr>
        <w:t>Operations and Support</w:t>
      </w:r>
      <w:r w:rsidR="00900CC3" w:rsidRPr="00640437">
        <w:rPr>
          <w:rFonts w:ascii="Arial" w:hAnsi="Arial" w:cs="Arial"/>
        </w:rPr>
        <w:t xml:space="preserve"> </w:t>
      </w:r>
      <w:r w:rsidRPr="00640437">
        <w:rPr>
          <w:rFonts w:ascii="Arial" w:hAnsi="Arial" w:cs="Arial"/>
        </w:rPr>
        <w:tab/>
      </w:r>
      <w:r w:rsidRPr="000742F4">
        <w:rPr>
          <w:rFonts w:ascii="Arial" w:hAnsi="Arial" w:cs="Arial"/>
        </w:rPr>
        <w:tab/>
        <w:t xml:space="preserve"> </w:t>
      </w:r>
    </w:p>
    <w:p w:rsidR="002E5D71" w:rsidRPr="000742F4" w:rsidRDefault="002E5D71" w:rsidP="002E5D71">
      <w:pPr>
        <w:spacing w:after="0"/>
        <w:jc w:val="both"/>
        <w:rPr>
          <w:rFonts w:ascii="Arial" w:hAnsi="Arial" w:cs="Arial"/>
        </w:rPr>
      </w:pPr>
    </w:p>
    <w:p w:rsidR="002E5D71" w:rsidRPr="00640437" w:rsidRDefault="002E5D71" w:rsidP="002E5D71">
      <w:pPr>
        <w:spacing w:after="0"/>
        <w:jc w:val="both"/>
        <w:rPr>
          <w:rFonts w:ascii="Arial" w:hAnsi="Arial" w:cs="Arial"/>
        </w:rPr>
      </w:pPr>
      <w:r w:rsidRPr="000742F4">
        <w:rPr>
          <w:rFonts w:ascii="Arial" w:hAnsi="Arial" w:cs="Arial"/>
          <w:b/>
        </w:rPr>
        <w:t>Location:</w:t>
      </w:r>
      <w:r w:rsidR="00900CC3">
        <w:rPr>
          <w:rFonts w:ascii="Arial" w:hAnsi="Arial" w:cs="Arial"/>
          <w:b/>
        </w:rPr>
        <w:t xml:space="preserve"> </w:t>
      </w:r>
      <w:r w:rsidR="00640437">
        <w:rPr>
          <w:rFonts w:ascii="Arial" w:hAnsi="Arial" w:cs="Arial"/>
          <w:b/>
        </w:rPr>
        <w:tab/>
      </w:r>
      <w:r w:rsidR="00900CC3" w:rsidRPr="00640437">
        <w:rPr>
          <w:rFonts w:ascii="Arial" w:hAnsi="Arial" w:cs="Arial"/>
        </w:rPr>
        <w:t>Brighton &amp; Eastbourne</w:t>
      </w:r>
      <w:r w:rsidRPr="00640437">
        <w:rPr>
          <w:rFonts w:ascii="Arial" w:hAnsi="Arial" w:cs="Arial"/>
        </w:rPr>
        <w:tab/>
      </w:r>
      <w:r w:rsidRPr="00640437">
        <w:rPr>
          <w:rFonts w:ascii="Arial" w:hAnsi="Arial" w:cs="Arial"/>
        </w:rPr>
        <w:tab/>
      </w:r>
    </w:p>
    <w:p w:rsidR="002E5D71" w:rsidRPr="000742F4" w:rsidRDefault="002E5D71" w:rsidP="002E5D71">
      <w:pPr>
        <w:spacing w:after="0"/>
        <w:jc w:val="both"/>
        <w:rPr>
          <w:rFonts w:ascii="Arial" w:hAnsi="Arial" w:cs="Arial"/>
        </w:rPr>
      </w:pPr>
    </w:p>
    <w:p w:rsidR="000742F4" w:rsidRPr="00640437" w:rsidRDefault="000742F4" w:rsidP="000742F4">
      <w:pPr>
        <w:spacing w:after="0"/>
        <w:jc w:val="both"/>
        <w:rPr>
          <w:rFonts w:ascii="Arial" w:hAnsi="Arial" w:cs="Arial"/>
        </w:rPr>
      </w:pPr>
      <w:r w:rsidRPr="000742F4">
        <w:rPr>
          <w:rFonts w:ascii="Arial" w:hAnsi="Arial" w:cs="Arial"/>
          <w:b/>
        </w:rPr>
        <w:t>Grade:</w:t>
      </w:r>
      <w:r w:rsidR="00900CC3">
        <w:rPr>
          <w:rFonts w:ascii="Arial" w:hAnsi="Arial" w:cs="Arial"/>
          <w:b/>
        </w:rPr>
        <w:t xml:space="preserve"> </w:t>
      </w:r>
      <w:r w:rsidR="00640437">
        <w:rPr>
          <w:rFonts w:ascii="Arial" w:hAnsi="Arial" w:cs="Arial"/>
          <w:b/>
        </w:rPr>
        <w:tab/>
      </w:r>
      <w:r w:rsidR="00900CC3" w:rsidRPr="00640437">
        <w:rPr>
          <w:rFonts w:ascii="Arial" w:hAnsi="Arial" w:cs="Arial"/>
        </w:rPr>
        <w:t>4</w:t>
      </w:r>
    </w:p>
    <w:p w:rsidR="002E5D71" w:rsidRPr="000742F4" w:rsidRDefault="002E5D71" w:rsidP="002E5D71">
      <w:pPr>
        <w:spacing w:after="0"/>
        <w:jc w:val="both"/>
        <w:rPr>
          <w:rFonts w:ascii="Arial" w:hAnsi="Arial" w:cs="Arial"/>
        </w:rPr>
      </w:pPr>
    </w:p>
    <w:p w:rsidR="001F60AB" w:rsidRDefault="002E5D71" w:rsidP="001F60AB">
      <w:pPr>
        <w:spacing w:after="0"/>
        <w:jc w:val="both"/>
        <w:rPr>
          <w:rFonts w:ascii="Arial" w:hAnsi="Arial" w:cs="Arial"/>
          <w:b/>
        </w:rPr>
      </w:pPr>
      <w:r w:rsidRPr="000742F4">
        <w:rPr>
          <w:rFonts w:ascii="Arial" w:hAnsi="Arial" w:cs="Arial"/>
          <w:b/>
        </w:rPr>
        <w:t>Purpose of the role</w:t>
      </w:r>
      <w:r w:rsidR="0015219E">
        <w:rPr>
          <w:rFonts w:ascii="Arial" w:hAnsi="Arial" w:cs="Arial"/>
          <w:b/>
        </w:rPr>
        <w:t>:</w:t>
      </w:r>
    </w:p>
    <w:p w:rsidR="0015219E" w:rsidRPr="00C4725D" w:rsidRDefault="0015219E" w:rsidP="009B6D02">
      <w:pPr>
        <w:spacing w:after="0"/>
      </w:pPr>
      <w:r w:rsidRPr="00C4725D">
        <w:rPr>
          <w:rFonts w:ascii="Arial" w:hAnsi="Arial" w:cs="Arial"/>
        </w:rPr>
        <w:t xml:space="preserve">The role of mentor provides regular </w:t>
      </w:r>
      <w:r w:rsidR="00F21F41" w:rsidRPr="00C4725D">
        <w:rPr>
          <w:rFonts w:ascii="Arial" w:hAnsi="Arial" w:cs="Arial"/>
        </w:rPr>
        <w:t xml:space="preserve">study skills </w:t>
      </w:r>
      <w:r w:rsidRPr="00C4725D">
        <w:rPr>
          <w:rFonts w:ascii="Arial" w:hAnsi="Arial" w:cs="Arial"/>
        </w:rPr>
        <w:t xml:space="preserve">support to our students who have mental health conditions and/or autism, along with occasional work with students with other disabilities. </w:t>
      </w:r>
      <w:r w:rsidR="00C4725D">
        <w:rPr>
          <w:rFonts w:ascii="Arial" w:hAnsi="Arial" w:cs="Arial"/>
        </w:rPr>
        <w:t>Mentors have a caseload of regular students and liaise closely with Learning Support Coordinators in the Disability &amp; Dyslexia team (DDT) to plan ongoing support.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4"/>
      </w:tblGrid>
      <w:tr w:rsidR="001F60AB">
        <w:trPr>
          <w:trHeight w:val="400"/>
        </w:trPr>
        <w:tc>
          <w:tcPr>
            <w:tcW w:w="9494" w:type="dxa"/>
          </w:tcPr>
          <w:p w:rsidR="001F60AB" w:rsidRDefault="001F60AB" w:rsidP="0015219E">
            <w:pPr>
              <w:pStyle w:val="Default"/>
              <w:rPr>
                <w:sz w:val="22"/>
                <w:szCs w:val="22"/>
              </w:rPr>
            </w:pPr>
          </w:p>
        </w:tc>
      </w:tr>
    </w:tbl>
    <w:p w:rsidR="006F7241" w:rsidRDefault="006F7241" w:rsidP="002E5D71">
      <w:pPr>
        <w:rPr>
          <w:rFonts w:ascii="Arial" w:hAnsi="Arial" w:cs="Arial"/>
          <w:b/>
        </w:rPr>
      </w:pPr>
      <w:r w:rsidRPr="00707C7F">
        <w:rPr>
          <w:rFonts w:ascii="Arial" w:hAnsi="Arial" w:cs="Arial"/>
          <w:b/>
        </w:rPr>
        <w:t>Main areas of responsibility:</w:t>
      </w:r>
      <w:r w:rsidR="00294B38" w:rsidRPr="00707C7F">
        <w:rPr>
          <w:rFonts w:ascii="Arial" w:hAnsi="Arial" w:cs="Arial"/>
          <w:b/>
        </w:rPr>
        <w:t xml:space="preserve"> </w:t>
      </w:r>
    </w:p>
    <w:p w:rsidR="009B6D02" w:rsidRPr="009B6D02" w:rsidRDefault="009B6D02" w:rsidP="009B6D02">
      <w:pPr>
        <w:pStyle w:val="ListParagraph"/>
        <w:numPr>
          <w:ilvl w:val="0"/>
          <w:numId w:val="18"/>
        </w:numPr>
        <w:spacing w:after="0"/>
        <w:rPr>
          <w:rFonts w:ascii="Arial" w:hAnsi="Arial" w:cs="Arial"/>
          <w:color w:val="000000"/>
        </w:rPr>
      </w:pPr>
      <w:r w:rsidRPr="009B6D02">
        <w:rPr>
          <w:rFonts w:ascii="Arial" w:hAnsi="Arial" w:cs="Arial"/>
          <w:color w:val="000000"/>
        </w:rPr>
        <w:t xml:space="preserve">To provide regular, ongoing support for students whose academic progress has been disrupted by a mental health condition, autism, or other </w:t>
      </w:r>
      <w:proofErr w:type="gramStart"/>
      <w:r w:rsidRPr="009B6D02">
        <w:rPr>
          <w:rFonts w:ascii="Arial" w:hAnsi="Arial" w:cs="Arial"/>
          <w:color w:val="000000"/>
        </w:rPr>
        <w:t>disabilities.</w:t>
      </w:r>
      <w:proofErr w:type="gramEnd"/>
    </w:p>
    <w:p w:rsidR="009B6D02" w:rsidRDefault="009B6D02" w:rsidP="009B6D02">
      <w:pPr>
        <w:spacing w:after="0"/>
        <w:rPr>
          <w:rFonts w:ascii="Arial" w:hAnsi="Arial" w:cs="Arial"/>
          <w:color w:val="000000"/>
        </w:rPr>
      </w:pPr>
    </w:p>
    <w:p w:rsidR="009B6D02" w:rsidRPr="009B6D02" w:rsidRDefault="009B6D02" w:rsidP="009B6D02">
      <w:pPr>
        <w:pStyle w:val="ListParagraph"/>
        <w:numPr>
          <w:ilvl w:val="0"/>
          <w:numId w:val="18"/>
        </w:numPr>
        <w:spacing w:after="0"/>
        <w:rPr>
          <w:rFonts w:ascii="Arial" w:hAnsi="Arial" w:cs="Arial"/>
          <w:color w:val="000000"/>
        </w:rPr>
      </w:pPr>
      <w:r w:rsidRPr="009B6D02">
        <w:rPr>
          <w:rFonts w:ascii="Arial" w:hAnsi="Arial" w:cs="Arial"/>
          <w:color w:val="000000"/>
        </w:rPr>
        <w:t>Offer non-subject specific study skills support to students in higher education.</w:t>
      </w:r>
    </w:p>
    <w:p w:rsidR="009B6D02" w:rsidRDefault="009B6D02" w:rsidP="009B6D02">
      <w:pPr>
        <w:spacing w:after="0"/>
        <w:rPr>
          <w:rFonts w:ascii="Arial" w:hAnsi="Arial" w:cs="Arial"/>
          <w:color w:val="000000"/>
        </w:rPr>
      </w:pPr>
    </w:p>
    <w:p w:rsidR="009B6D02" w:rsidRPr="009B6D02" w:rsidRDefault="009B6D02" w:rsidP="009B6D02">
      <w:pPr>
        <w:pStyle w:val="ListParagraph"/>
        <w:numPr>
          <w:ilvl w:val="0"/>
          <w:numId w:val="18"/>
        </w:numPr>
        <w:spacing w:after="0"/>
        <w:rPr>
          <w:rFonts w:ascii="Arial" w:hAnsi="Arial" w:cs="Arial"/>
          <w:color w:val="000000"/>
        </w:rPr>
      </w:pPr>
      <w:r w:rsidRPr="009B6D02">
        <w:rPr>
          <w:rFonts w:ascii="Arial" w:hAnsi="Arial" w:cs="Arial"/>
          <w:color w:val="000000"/>
        </w:rPr>
        <w:t>To work collaboratively and continuously with students and DDT Learning Support Coordinators with the aim of agreeing and providing support most suited to individual study and other support needs.</w:t>
      </w:r>
    </w:p>
    <w:p w:rsidR="009B6D02" w:rsidRDefault="009B6D02" w:rsidP="009B6D02">
      <w:pPr>
        <w:spacing w:after="0"/>
        <w:rPr>
          <w:rFonts w:ascii="Arial" w:hAnsi="Arial" w:cs="Arial"/>
          <w:color w:val="000000"/>
        </w:rPr>
      </w:pPr>
    </w:p>
    <w:p w:rsidR="009B6D02" w:rsidRPr="009B6D02" w:rsidRDefault="009B6D02" w:rsidP="009B6D02">
      <w:pPr>
        <w:pStyle w:val="ListParagraph"/>
        <w:numPr>
          <w:ilvl w:val="0"/>
          <w:numId w:val="18"/>
        </w:numPr>
        <w:spacing w:after="0"/>
        <w:rPr>
          <w:rFonts w:ascii="Arial" w:hAnsi="Arial" w:cs="Arial"/>
          <w:color w:val="000000"/>
        </w:rPr>
      </w:pPr>
      <w:r w:rsidRPr="009B6D02">
        <w:rPr>
          <w:rFonts w:ascii="Arial" w:hAnsi="Arial" w:cs="Arial"/>
          <w:color w:val="000000"/>
        </w:rPr>
        <w:t>To maintain the DDT’s commitment to the strict confidentiality of students’ personal information and to observe the Team’s protocols and procedures.</w:t>
      </w:r>
    </w:p>
    <w:p w:rsidR="009B6D02" w:rsidRDefault="009B6D02" w:rsidP="009B6D02">
      <w:pPr>
        <w:spacing w:after="0"/>
        <w:rPr>
          <w:rFonts w:ascii="Arial" w:hAnsi="Arial" w:cs="Arial"/>
          <w:b/>
        </w:rPr>
      </w:pPr>
    </w:p>
    <w:p w:rsidR="009B6D02" w:rsidRPr="009B6D02" w:rsidRDefault="009B6D02" w:rsidP="009B6D02">
      <w:pPr>
        <w:pStyle w:val="ListParagraph"/>
        <w:numPr>
          <w:ilvl w:val="0"/>
          <w:numId w:val="18"/>
        </w:numPr>
        <w:autoSpaceDE w:val="0"/>
        <w:autoSpaceDN w:val="0"/>
        <w:adjustRightInd w:val="0"/>
        <w:spacing w:after="0" w:line="240" w:lineRule="auto"/>
        <w:rPr>
          <w:rFonts w:ascii="Arial" w:hAnsi="Arial" w:cs="Arial"/>
          <w:color w:val="000000"/>
        </w:rPr>
      </w:pPr>
      <w:r w:rsidRPr="009B6D02">
        <w:rPr>
          <w:rFonts w:ascii="Arial" w:hAnsi="Arial" w:cs="Arial"/>
          <w:color w:val="000000"/>
        </w:rPr>
        <w:t xml:space="preserve">To participate in training and supervision and to be aware of the need to continuously enhance the effectiveness of the role. </w:t>
      </w:r>
    </w:p>
    <w:p w:rsidR="009B6D02" w:rsidRDefault="009B6D02" w:rsidP="00A965A8">
      <w:pPr>
        <w:rPr>
          <w:rFonts w:ascii="Arial" w:hAnsi="Arial" w:cs="Arial"/>
          <w:b/>
          <w:sz w:val="20"/>
          <w:szCs w:val="20"/>
        </w:rPr>
      </w:pPr>
    </w:p>
    <w:p w:rsidR="00A965A8" w:rsidRPr="00C4725D" w:rsidRDefault="00A965A8" w:rsidP="00A965A8">
      <w:pPr>
        <w:rPr>
          <w:rFonts w:ascii="Arial" w:hAnsi="Arial" w:cs="Arial"/>
          <w:b/>
          <w:sz w:val="20"/>
          <w:szCs w:val="20"/>
        </w:rPr>
      </w:pPr>
      <w:r w:rsidRPr="00C4725D">
        <w:rPr>
          <w:rFonts w:ascii="Arial" w:hAnsi="Arial" w:cs="Arial"/>
          <w:b/>
          <w:sz w:val="20"/>
          <w:szCs w:val="20"/>
        </w:rPr>
        <w:t>General responsibilities</w:t>
      </w:r>
    </w:p>
    <w:p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lastRenderedPageBreak/>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rsidR="009B6D02" w:rsidRPr="009B6D02" w:rsidRDefault="00C82F11" w:rsidP="002E5D71">
      <w:pPr>
        <w:pStyle w:val="ListParagraph"/>
        <w:numPr>
          <w:ilvl w:val="0"/>
          <w:numId w:val="8"/>
        </w:numPr>
        <w:rPr>
          <w:rFonts w:ascii="Arial" w:hAnsi="Arial" w:cs="Arial"/>
        </w:rPr>
      </w:pPr>
      <w:r w:rsidRPr="0015219E">
        <w:rPr>
          <w:rFonts w:ascii="Arial" w:eastAsia="Times New Roman" w:hAnsi="Arial" w:cs="Arial"/>
          <w:szCs w:val="24"/>
          <w:lang w:eastAsia="en-GB"/>
        </w:rPr>
        <w:t xml:space="preserve">To work in accordance with the </w:t>
      </w:r>
      <w:r w:rsidR="009B6D02">
        <w:rPr>
          <w:rFonts w:ascii="Arial" w:eastAsia="Times New Roman" w:hAnsi="Arial" w:cs="Arial"/>
          <w:szCs w:val="24"/>
          <w:lang w:eastAsia="en-GB"/>
        </w:rPr>
        <w:t xml:space="preserve">General Data </w:t>
      </w:r>
      <w:r w:rsidRPr="0015219E">
        <w:rPr>
          <w:rFonts w:ascii="Arial" w:eastAsia="Times New Roman" w:hAnsi="Arial" w:cs="Arial"/>
          <w:szCs w:val="24"/>
          <w:lang w:eastAsia="en-GB"/>
        </w:rPr>
        <w:t xml:space="preserve">Protection </w:t>
      </w:r>
      <w:r w:rsidR="009B6D02">
        <w:rPr>
          <w:rFonts w:ascii="Arial" w:eastAsia="Times New Roman" w:hAnsi="Arial" w:cs="Arial"/>
          <w:szCs w:val="24"/>
          <w:lang w:eastAsia="en-GB"/>
        </w:rPr>
        <w:t>Regulations.</w:t>
      </w:r>
    </w:p>
    <w:p w:rsidR="009B6D02" w:rsidRDefault="009B6D02">
      <w:pPr>
        <w:rPr>
          <w:rFonts w:ascii="Arial" w:eastAsia="Times New Roman" w:hAnsi="Arial" w:cs="Arial"/>
          <w:szCs w:val="24"/>
          <w:lang w:eastAsia="en-GB"/>
        </w:rPr>
      </w:pPr>
      <w:r>
        <w:rPr>
          <w:rFonts w:ascii="Arial" w:eastAsia="Times New Roman" w:hAnsi="Arial" w:cs="Arial"/>
          <w:szCs w:val="24"/>
          <w:lang w:eastAsia="en-GB"/>
        </w:rPr>
        <w:br w:type="page"/>
      </w:r>
    </w:p>
    <w:p w:rsidR="00601DB9" w:rsidRDefault="00601DB9" w:rsidP="00601DB9">
      <w:pPr>
        <w:rPr>
          <w:rFonts w:ascii="Arial" w:hAnsi="Arial" w:cs="Arial"/>
          <w:b/>
        </w:rPr>
      </w:pPr>
      <w:r>
        <w:rPr>
          <w:rFonts w:ascii="Arial" w:hAnsi="Arial" w:cs="Arial"/>
          <w:b/>
          <w:noProof/>
          <w:lang w:eastAsia="en-GB"/>
        </w:rPr>
        <w:lastRenderedPageBreak/>
        <w:drawing>
          <wp:inline distT="0" distB="0" distL="0" distR="0">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rsidR="00601DB9" w:rsidRPr="008648C0" w:rsidRDefault="00601DB9" w:rsidP="00601DB9">
      <w:pPr>
        <w:rPr>
          <w:rFonts w:ascii="Arial" w:hAnsi="Arial" w:cs="Arial"/>
        </w:rPr>
      </w:pPr>
      <w:r w:rsidRPr="00922E48">
        <w:rPr>
          <w:rFonts w:ascii="Arial" w:hAnsi="Arial" w:cs="Arial"/>
        </w:rPr>
        <w:t xml:space="preserve">The person specification focuses on the knowledge, qualifications, experience and skills (both general and technical) required </w:t>
      </w:r>
      <w:proofErr w:type="gramStart"/>
      <w:r w:rsidRPr="00922E48">
        <w:rPr>
          <w:rFonts w:ascii="Arial" w:hAnsi="Arial" w:cs="Arial"/>
        </w:rPr>
        <w:t>to undertake</w:t>
      </w:r>
      <w:proofErr w:type="gramEnd"/>
      <w:r w:rsidRPr="00922E48">
        <w:rPr>
          <w:rFonts w:ascii="Arial" w:hAnsi="Arial" w:cs="Arial"/>
        </w:rPr>
        <w:t xml:space="preserve"> the role effectively. Please ensure that your application demonstrates how you meet the essential criteria.  You will be assessed by your completed application form (A), at interview (I) and in some instances through an exercise (E).  </w:t>
      </w:r>
    </w:p>
    <w:tbl>
      <w:tblPr>
        <w:tblStyle w:val="TableGrid"/>
        <w:tblW w:w="9498" w:type="dxa"/>
        <w:tblInd w:w="108" w:type="dxa"/>
        <w:tblLayout w:type="fixed"/>
        <w:tblLook w:val="04A0" w:firstRow="1" w:lastRow="0" w:firstColumn="1" w:lastColumn="0" w:noHBand="0" w:noVBand="1"/>
      </w:tblPr>
      <w:tblGrid>
        <w:gridCol w:w="2020"/>
        <w:gridCol w:w="6831"/>
        <w:gridCol w:w="647"/>
      </w:tblGrid>
      <w:tr w:rsidR="005C0A86" w:rsidTr="00F110EE">
        <w:trPr>
          <w:trHeight w:val="424"/>
        </w:trPr>
        <w:tc>
          <w:tcPr>
            <w:tcW w:w="2020" w:type="dxa"/>
          </w:tcPr>
          <w:p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6831" w:type="dxa"/>
          </w:tcPr>
          <w:p w:rsidR="006A565C" w:rsidRDefault="006A565C" w:rsidP="00922E48">
            <w:pPr>
              <w:rPr>
                <w:rFonts w:ascii="Arial" w:hAnsi="Arial" w:cs="Arial"/>
                <w:b/>
              </w:rPr>
            </w:pPr>
          </w:p>
        </w:tc>
        <w:tc>
          <w:tcPr>
            <w:tcW w:w="647" w:type="dxa"/>
          </w:tcPr>
          <w:p w:rsidR="006A565C" w:rsidRDefault="006A565C" w:rsidP="002E5D71">
            <w:pPr>
              <w:rPr>
                <w:rFonts w:ascii="Arial" w:hAnsi="Arial" w:cs="Arial"/>
                <w:b/>
              </w:rPr>
            </w:pPr>
          </w:p>
        </w:tc>
      </w:tr>
      <w:tr w:rsidR="005C0A86" w:rsidTr="00F110EE">
        <w:trPr>
          <w:trHeight w:val="5150"/>
        </w:trPr>
        <w:tc>
          <w:tcPr>
            <w:tcW w:w="2020" w:type="dxa"/>
          </w:tcPr>
          <w:p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r w:rsidR="00B9414B">
              <w:rPr>
                <w:rFonts w:ascii="Arial" w:hAnsi="Arial" w:cs="Arial"/>
                <w:b/>
                <w:sz w:val="20"/>
                <w:szCs w:val="20"/>
              </w:rPr>
              <w:t>/Skills</w:t>
            </w:r>
          </w:p>
          <w:p w:rsidR="00CA56D7" w:rsidRPr="00730291" w:rsidRDefault="00CA56D7" w:rsidP="00695F0A">
            <w:pPr>
              <w:rPr>
                <w:rFonts w:ascii="Arial" w:hAnsi="Arial" w:cs="Arial"/>
                <w:b/>
                <w:sz w:val="18"/>
                <w:szCs w:val="18"/>
              </w:rPr>
            </w:pPr>
          </w:p>
        </w:tc>
        <w:tc>
          <w:tcPr>
            <w:tcW w:w="6831" w:type="dxa"/>
          </w:tcPr>
          <w:p w:rsidR="00CB1E2B" w:rsidRDefault="00CB1E2B" w:rsidP="000131FC">
            <w:pPr>
              <w:pStyle w:val="Default"/>
              <w:rPr>
                <w:sz w:val="22"/>
                <w:szCs w:val="22"/>
              </w:rPr>
            </w:pPr>
            <w:r w:rsidRPr="00CB1E2B">
              <w:rPr>
                <w:sz w:val="22"/>
                <w:szCs w:val="22"/>
              </w:rPr>
              <w:t>Ability to establish effective, formal interpersonal relations with disabled students appropriate to supporting learning difficulties arising from disability, mental health conditions or autism.</w:t>
            </w:r>
          </w:p>
          <w:p w:rsidR="00062BED" w:rsidRDefault="00062BED" w:rsidP="000131FC">
            <w:pPr>
              <w:pStyle w:val="Default"/>
              <w:rPr>
                <w:sz w:val="22"/>
                <w:szCs w:val="22"/>
              </w:rPr>
            </w:pPr>
          </w:p>
          <w:p w:rsidR="00CB1E2B" w:rsidRPr="00CB1E2B" w:rsidRDefault="00CB1E2B" w:rsidP="00CB1E2B">
            <w:pPr>
              <w:pStyle w:val="Default"/>
              <w:rPr>
                <w:sz w:val="22"/>
                <w:szCs w:val="22"/>
              </w:rPr>
            </w:pPr>
            <w:r w:rsidRPr="00CB1E2B">
              <w:rPr>
                <w:sz w:val="22"/>
                <w:szCs w:val="22"/>
              </w:rPr>
              <w:t>Clear understanding that the role of student mentor has no direct therapeutic element and is limited to providing non subject- specific support for learning related difficulties (and that this</w:t>
            </w:r>
          </w:p>
          <w:p w:rsidR="00CB1E2B" w:rsidRDefault="00CB1E2B" w:rsidP="00CB1E2B">
            <w:pPr>
              <w:pStyle w:val="Default"/>
              <w:rPr>
                <w:sz w:val="22"/>
                <w:szCs w:val="22"/>
              </w:rPr>
            </w:pPr>
            <w:proofErr w:type="gramStart"/>
            <w:r w:rsidRPr="00CB1E2B">
              <w:rPr>
                <w:sz w:val="22"/>
                <w:szCs w:val="22"/>
              </w:rPr>
              <w:t>support</w:t>
            </w:r>
            <w:proofErr w:type="gramEnd"/>
            <w:r w:rsidRPr="00CB1E2B">
              <w:rPr>
                <w:sz w:val="22"/>
                <w:szCs w:val="22"/>
              </w:rPr>
              <w:t xml:space="preserve"> does not include proof reading of assignments).</w:t>
            </w:r>
          </w:p>
          <w:p w:rsidR="00062BED" w:rsidRDefault="00062BED" w:rsidP="00CB1E2B">
            <w:pPr>
              <w:pStyle w:val="Default"/>
              <w:rPr>
                <w:sz w:val="22"/>
                <w:szCs w:val="22"/>
              </w:rPr>
            </w:pPr>
          </w:p>
          <w:p w:rsidR="00CB1E2B" w:rsidRDefault="00CB1E2B" w:rsidP="00CB1E2B">
            <w:pPr>
              <w:pStyle w:val="Default"/>
              <w:rPr>
                <w:sz w:val="22"/>
                <w:szCs w:val="22"/>
              </w:rPr>
            </w:pPr>
            <w:r w:rsidRPr="00CB1E2B">
              <w:rPr>
                <w:sz w:val="22"/>
                <w:szCs w:val="22"/>
              </w:rPr>
              <w:t>Ability to offer non-subject specific study skills support to students in higher education.</w:t>
            </w:r>
          </w:p>
          <w:p w:rsidR="00062BED" w:rsidRDefault="00062BED" w:rsidP="00CB1E2B">
            <w:pPr>
              <w:pStyle w:val="Default"/>
              <w:rPr>
                <w:sz w:val="22"/>
                <w:szCs w:val="22"/>
              </w:rPr>
            </w:pPr>
          </w:p>
          <w:p w:rsidR="00CB1E2B" w:rsidRDefault="00CB1E2B" w:rsidP="00CB1E2B">
            <w:pPr>
              <w:pStyle w:val="Default"/>
              <w:rPr>
                <w:sz w:val="22"/>
                <w:szCs w:val="22"/>
              </w:rPr>
            </w:pPr>
            <w:r w:rsidRPr="00CB1E2B">
              <w:rPr>
                <w:sz w:val="22"/>
                <w:szCs w:val="22"/>
              </w:rPr>
              <w:t>Ability to establish needs arising from disability or mental health difficulties at Higher Education level, in cooperation with the student and the relevant disability/learning support coordinator.</w:t>
            </w:r>
          </w:p>
          <w:p w:rsidR="00062BED" w:rsidRDefault="00062BED" w:rsidP="00CB1E2B">
            <w:pPr>
              <w:pStyle w:val="Default"/>
              <w:rPr>
                <w:sz w:val="22"/>
                <w:szCs w:val="22"/>
              </w:rPr>
            </w:pPr>
          </w:p>
          <w:p w:rsidR="00CB1E2B" w:rsidRDefault="00CB1E2B" w:rsidP="00CB1E2B">
            <w:pPr>
              <w:pStyle w:val="Default"/>
              <w:rPr>
                <w:sz w:val="22"/>
                <w:szCs w:val="22"/>
              </w:rPr>
            </w:pPr>
            <w:r w:rsidRPr="00CB1E2B">
              <w:rPr>
                <w:sz w:val="22"/>
                <w:szCs w:val="22"/>
              </w:rPr>
              <w:t>Excellent time management and ability to organise own work with the ability to develop effective work systems and to apply own initiative to the day-to-day demands and priorities of the role.</w:t>
            </w:r>
          </w:p>
          <w:p w:rsidR="00062BED" w:rsidRDefault="00062BED" w:rsidP="00CB1E2B">
            <w:pPr>
              <w:pStyle w:val="Default"/>
              <w:rPr>
                <w:sz w:val="22"/>
                <w:szCs w:val="22"/>
              </w:rPr>
            </w:pPr>
          </w:p>
          <w:p w:rsidR="00CB1E2B" w:rsidRDefault="00CB1E2B" w:rsidP="00CB1E2B">
            <w:pPr>
              <w:pStyle w:val="Default"/>
              <w:rPr>
                <w:sz w:val="22"/>
                <w:szCs w:val="22"/>
              </w:rPr>
            </w:pPr>
            <w:r w:rsidRPr="00CB1E2B">
              <w:rPr>
                <w:sz w:val="22"/>
                <w:szCs w:val="22"/>
              </w:rPr>
              <w:t>Ability to establish and work within effective professional boundaries.</w:t>
            </w:r>
          </w:p>
          <w:p w:rsidR="00CB1E2B" w:rsidRPr="000131FC" w:rsidRDefault="00CB1E2B" w:rsidP="00CB1E2B">
            <w:pPr>
              <w:pStyle w:val="Default"/>
              <w:rPr>
                <w:sz w:val="22"/>
                <w:szCs w:val="22"/>
              </w:rPr>
            </w:pPr>
          </w:p>
        </w:tc>
        <w:tc>
          <w:tcPr>
            <w:tcW w:w="647" w:type="dxa"/>
          </w:tcPr>
          <w:p w:rsidR="000742F4" w:rsidRDefault="00640437" w:rsidP="002E5D71">
            <w:pPr>
              <w:rPr>
                <w:rFonts w:ascii="Arial" w:hAnsi="Arial" w:cs="Arial"/>
                <w:b/>
              </w:rPr>
            </w:pPr>
            <w:r>
              <w:rPr>
                <w:rFonts w:ascii="Arial" w:hAnsi="Arial" w:cs="Arial"/>
                <w:b/>
              </w:rPr>
              <w:t>A &amp;</w:t>
            </w:r>
            <w:r w:rsidR="0060547A">
              <w:rPr>
                <w:rFonts w:ascii="Arial" w:hAnsi="Arial" w:cs="Arial"/>
                <w:b/>
              </w:rPr>
              <w:t xml:space="preserve"> I</w:t>
            </w:r>
            <w:r>
              <w:rPr>
                <w:rFonts w:ascii="Arial" w:hAnsi="Arial" w:cs="Arial"/>
                <w:b/>
              </w:rPr>
              <w:t xml:space="preserve"> </w:t>
            </w:r>
          </w:p>
        </w:tc>
      </w:tr>
      <w:tr w:rsidR="005C0A86" w:rsidTr="00F110EE">
        <w:trPr>
          <w:trHeight w:val="5390"/>
        </w:trPr>
        <w:tc>
          <w:tcPr>
            <w:tcW w:w="2020" w:type="dxa"/>
          </w:tcPr>
          <w:p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rsidR="00CA56D7" w:rsidRPr="00730291" w:rsidRDefault="00CA56D7" w:rsidP="00730291">
            <w:pPr>
              <w:rPr>
                <w:rFonts w:ascii="Arial" w:hAnsi="Arial" w:cs="Arial"/>
                <w:b/>
                <w:sz w:val="16"/>
                <w:szCs w:val="16"/>
              </w:rPr>
            </w:pPr>
          </w:p>
        </w:tc>
        <w:tc>
          <w:tcPr>
            <w:tcW w:w="6831" w:type="dxa"/>
          </w:tcPr>
          <w:p w:rsidR="009614A2" w:rsidRDefault="009614A2"/>
          <w:tbl>
            <w:tblPr>
              <w:tblW w:w="8138" w:type="dxa"/>
              <w:tblBorders>
                <w:top w:val="nil"/>
                <w:left w:val="nil"/>
                <w:bottom w:val="nil"/>
                <w:right w:val="nil"/>
              </w:tblBorders>
              <w:tblLayout w:type="fixed"/>
              <w:tblLook w:val="0000" w:firstRow="0" w:lastRow="0" w:firstColumn="0" w:lastColumn="0" w:noHBand="0" w:noVBand="0"/>
            </w:tblPr>
            <w:tblGrid>
              <w:gridCol w:w="8138"/>
            </w:tblGrid>
            <w:tr w:rsidR="009624EE" w:rsidRPr="009624EE" w:rsidTr="00640437">
              <w:trPr>
                <w:trHeight w:val="2220"/>
              </w:trPr>
              <w:tc>
                <w:tcPr>
                  <w:tcW w:w="8138" w:type="dxa"/>
                </w:tcPr>
                <w:p w:rsidR="00FD45B8" w:rsidRDefault="00C41960" w:rsidP="00640437">
                  <w:pPr>
                    <w:autoSpaceDE w:val="0"/>
                    <w:autoSpaceDN w:val="0"/>
                    <w:adjustRightInd w:val="0"/>
                    <w:spacing w:after="0" w:line="240" w:lineRule="auto"/>
                    <w:ind w:right="1451"/>
                    <w:rPr>
                      <w:rFonts w:ascii="Arial" w:hAnsi="Arial" w:cs="Arial"/>
                      <w:color w:val="000000"/>
                      <w:lang w:val="en-US"/>
                    </w:rPr>
                  </w:pPr>
                  <w:r w:rsidRPr="00640437">
                    <w:rPr>
                      <w:rFonts w:ascii="Arial" w:hAnsi="Arial" w:cs="Arial"/>
                      <w:b/>
                    </w:rPr>
                    <w:t xml:space="preserve">*PLEASE NOTE due to government legislation all mentors must have membership of certain professional bodies so we cannot accept applications from those that do not meet </w:t>
                  </w:r>
                  <w:proofErr w:type="gramStart"/>
                  <w:r w:rsidRPr="00640437">
                    <w:rPr>
                      <w:rFonts w:ascii="Arial" w:hAnsi="Arial" w:cs="Arial"/>
                      <w:b/>
                    </w:rPr>
                    <w:t>this criteria</w:t>
                  </w:r>
                  <w:proofErr w:type="gramEnd"/>
                  <w:r w:rsidRPr="00640437">
                    <w:rPr>
                      <w:rFonts w:ascii="Arial" w:hAnsi="Arial" w:cs="Arial"/>
                      <w:b/>
                    </w:rPr>
                    <w:t xml:space="preserve">. </w:t>
                  </w:r>
                  <w:r w:rsidR="009624EE" w:rsidRPr="00640437">
                    <w:rPr>
                      <w:rFonts w:ascii="Arial" w:hAnsi="Arial" w:cs="Arial"/>
                      <w:color w:val="000000"/>
                      <w:lang w:val="en-US"/>
                    </w:rPr>
                    <w:t xml:space="preserve"> </w:t>
                  </w:r>
                </w:p>
                <w:p w:rsidR="00FD45B8" w:rsidRDefault="00FD45B8" w:rsidP="00640437">
                  <w:pPr>
                    <w:autoSpaceDE w:val="0"/>
                    <w:autoSpaceDN w:val="0"/>
                    <w:adjustRightInd w:val="0"/>
                    <w:spacing w:after="0" w:line="240" w:lineRule="auto"/>
                    <w:ind w:right="1451"/>
                    <w:rPr>
                      <w:rFonts w:ascii="Arial" w:hAnsi="Arial" w:cs="Arial"/>
                      <w:b/>
                      <w:bCs/>
                      <w:color w:val="000000"/>
                      <w:lang w:val="en-US"/>
                    </w:rPr>
                  </w:pPr>
                </w:p>
                <w:p w:rsidR="00FD45B8" w:rsidRDefault="00FD45B8" w:rsidP="00FD45B8">
                  <w:pPr>
                    <w:autoSpaceDE w:val="0"/>
                    <w:autoSpaceDN w:val="0"/>
                    <w:adjustRightInd w:val="0"/>
                    <w:ind w:right="1451"/>
                    <w:rPr>
                      <w:rStyle w:val="Hyperlink"/>
                      <w:rFonts w:ascii="Arial" w:hAnsi="Arial" w:cs="Arial"/>
                    </w:rPr>
                  </w:pPr>
                  <w:r w:rsidRPr="00FD45B8">
                    <w:rPr>
                      <w:rFonts w:ascii="Arial" w:hAnsi="Arial" w:cs="Arial"/>
                      <w:color w:val="000000"/>
                    </w:rPr>
                    <w:t xml:space="preserve">Membership of a professional body as recognised within the “Mandatory Qualifications &amp; Professional Body Registration Criteria” for Specialist </w:t>
                  </w:r>
                </w:p>
                <w:p w:rsidR="00F110EE" w:rsidRPr="00F110EE" w:rsidRDefault="00F110EE" w:rsidP="00FD45B8">
                  <w:pPr>
                    <w:autoSpaceDE w:val="0"/>
                    <w:autoSpaceDN w:val="0"/>
                    <w:adjustRightInd w:val="0"/>
                    <w:ind w:right="1451"/>
                    <w:rPr>
                      <w:rStyle w:val="Hyperlink"/>
                      <w:rFonts w:ascii="Arial" w:hAnsi="Arial" w:cs="Arial"/>
                    </w:rPr>
                  </w:pPr>
                  <w:r w:rsidRPr="00F110EE">
                    <w:rPr>
                      <w:rFonts w:ascii="Arial" w:hAnsi="Arial" w:cs="Arial"/>
                      <w:color w:val="000000"/>
                    </w:rPr>
                    <w:t>Please check Pages 9/10 of this link prior to making an application (you may need to copy/paste it into your browser)</w:t>
                  </w:r>
                  <w:r w:rsidRPr="00F110EE">
                    <w:rPr>
                      <w:rFonts w:ascii="Arial" w:hAnsi="Arial" w:cs="Arial"/>
                      <w:b/>
                      <w:bCs/>
                      <w:color w:val="000000"/>
                      <w:sz w:val="19"/>
                      <w:szCs w:val="19"/>
                      <w:shd w:val="clear" w:color="auto" w:fill="FFFFFF"/>
                    </w:rPr>
                    <w:t> - </w:t>
                  </w:r>
                  <w:r>
                    <w:rPr>
                      <w:rFonts w:ascii="Arial" w:hAnsi="Arial" w:cs="Arial"/>
                      <w:color w:val="3E494E"/>
                      <w:sz w:val="19"/>
                      <w:szCs w:val="19"/>
                      <w:u w:val="single"/>
                      <w:shd w:val="clear" w:color="auto" w:fill="FFFFFF"/>
                    </w:rPr>
                    <w:fldChar w:fldCharType="begin"/>
                  </w:r>
                  <w:r>
                    <w:rPr>
                      <w:rFonts w:ascii="Arial" w:hAnsi="Arial" w:cs="Arial"/>
                      <w:color w:val="3E494E"/>
                      <w:sz w:val="19"/>
                      <w:szCs w:val="19"/>
                      <w:u w:val="single"/>
                      <w:shd w:val="clear" w:color="auto" w:fill="FFFFFF"/>
                    </w:rPr>
                    <w:instrText xml:space="preserve"> HYPERLINK "https://dsa-qag.org.uk/download_file/view/3933/2801" \t "_blank" </w:instrText>
                  </w:r>
                  <w:r>
                    <w:rPr>
                      <w:rFonts w:ascii="Arial" w:hAnsi="Arial" w:cs="Arial"/>
                      <w:color w:val="3E494E"/>
                      <w:sz w:val="19"/>
                      <w:szCs w:val="19"/>
                      <w:u w:val="single"/>
                      <w:shd w:val="clear" w:color="auto" w:fill="FFFFFF"/>
                    </w:rPr>
                  </w:r>
                  <w:r>
                    <w:rPr>
                      <w:rFonts w:ascii="Arial" w:hAnsi="Arial" w:cs="Arial"/>
                      <w:color w:val="3E494E"/>
                      <w:sz w:val="19"/>
                      <w:szCs w:val="19"/>
                      <w:u w:val="single"/>
                      <w:shd w:val="clear" w:color="auto" w:fill="FFFFFF"/>
                    </w:rPr>
                    <w:fldChar w:fldCharType="separate"/>
                  </w:r>
                  <w:r w:rsidRPr="00F110EE">
                    <w:rPr>
                      <w:rStyle w:val="Hyperlink"/>
                      <w:rFonts w:ascii="Arial" w:hAnsi="Arial" w:cs="Arial"/>
                      <w:sz w:val="19"/>
                      <w:szCs w:val="19"/>
                      <w:shd w:val="clear" w:color="auto" w:fill="FFFFFF"/>
                    </w:rPr>
                    <w:t>Mandat</w:t>
                  </w:r>
                  <w:r w:rsidRPr="00F110EE">
                    <w:rPr>
                      <w:rStyle w:val="Hyperlink"/>
                      <w:rFonts w:ascii="Arial" w:hAnsi="Arial" w:cs="Arial"/>
                      <w:sz w:val="19"/>
                      <w:szCs w:val="19"/>
                      <w:shd w:val="clear" w:color="auto" w:fill="FFFFFF"/>
                    </w:rPr>
                    <w:t>ory criteria for NMH registration</w:t>
                  </w:r>
                </w:p>
                <w:p w:rsidR="00FD45B8" w:rsidRPr="00FD45B8" w:rsidRDefault="00F110EE" w:rsidP="00FD45B8">
                  <w:pPr>
                    <w:autoSpaceDE w:val="0"/>
                    <w:autoSpaceDN w:val="0"/>
                    <w:adjustRightInd w:val="0"/>
                    <w:ind w:right="1451"/>
                    <w:rPr>
                      <w:rFonts w:ascii="Arial" w:hAnsi="Arial" w:cs="Arial"/>
                      <w:color w:val="000000"/>
                    </w:rPr>
                  </w:pPr>
                  <w:r>
                    <w:rPr>
                      <w:rFonts w:ascii="Arial" w:hAnsi="Arial" w:cs="Arial"/>
                      <w:color w:val="3E494E"/>
                      <w:sz w:val="19"/>
                      <w:szCs w:val="19"/>
                      <w:u w:val="single"/>
                      <w:shd w:val="clear" w:color="auto" w:fill="FFFFFF"/>
                    </w:rPr>
                    <w:fldChar w:fldCharType="end"/>
                  </w:r>
                  <w:bookmarkStart w:id="0" w:name="_GoBack"/>
                  <w:bookmarkEnd w:id="0"/>
                  <w:r w:rsidR="00FD45B8" w:rsidRPr="00FD45B8">
                    <w:rPr>
                      <w:rFonts w:ascii="Arial" w:hAnsi="Arial" w:cs="Arial"/>
                      <w:color w:val="000000"/>
                    </w:rPr>
                    <w:t>*Please note you may need to copy/paste this link into your browser</w:t>
                  </w:r>
                </w:p>
                <w:p w:rsidR="00FD45B8" w:rsidRDefault="00FD45B8" w:rsidP="00FD45B8">
                  <w:pPr>
                    <w:autoSpaceDE w:val="0"/>
                    <w:autoSpaceDN w:val="0"/>
                    <w:adjustRightInd w:val="0"/>
                    <w:spacing w:after="0" w:line="240" w:lineRule="auto"/>
                    <w:rPr>
                      <w:rFonts w:ascii="Arial" w:hAnsi="Arial" w:cs="Arial"/>
                      <w:color w:val="000000"/>
                    </w:rPr>
                  </w:pPr>
                  <w:r w:rsidRPr="00FD45B8">
                    <w:rPr>
                      <w:rFonts w:ascii="Arial" w:hAnsi="Arial" w:cs="Arial"/>
                      <w:color w:val="000000"/>
                    </w:rPr>
                    <w:t>A degree or an equivalent level of analytical and problem solving</w:t>
                  </w:r>
                </w:p>
                <w:p w:rsidR="009624EE" w:rsidRPr="009624EE" w:rsidRDefault="00FD45B8" w:rsidP="00FD45B8">
                  <w:pPr>
                    <w:autoSpaceDE w:val="0"/>
                    <w:autoSpaceDN w:val="0"/>
                    <w:adjustRightInd w:val="0"/>
                    <w:spacing w:after="0" w:line="240" w:lineRule="auto"/>
                    <w:rPr>
                      <w:rFonts w:ascii="Calibri" w:hAnsi="Calibri" w:cs="Calibri"/>
                      <w:color w:val="000000"/>
                      <w:sz w:val="23"/>
                      <w:szCs w:val="23"/>
                      <w:lang w:val="en-US"/>
                    </w:rPr>
                  </w:pPr>
                  <w:proofErr w:type="gramStart"/>
                  <w:r w:rsidRPr="00FD45B8">
                    <w:rPr>
                      <w:rFonts w:ascii="Arial" w:hAnsi="Arial" w:cs="Arial"/>
                      <w:color w:val="000000"/>
                    </w:rPr>
                    <w:t>ability</w:t>
                  </w:r>
                  <w:proofErr w:type="gramEnd"/>
                  <w:r w:rsidRPr="00FD45B8">
                    <w:rPr>
                      <w:rFonts w:ascii="Arial" w:hAnsi="Arial" w:cs="Arial"/>
                      <w:color w:val="000000"/>
                    </w:rPr>
                    <w:t>.</w:t>
                  </w:r>
                </w:p>
              </w:tc>
            </w:tr>
          </w:tbl>
          <w:p w:rsidR="009624EE" w:rsidRPr="006A565C" w:rsidRDefault="009624EE" w:rsidP="009624EE">
            <w:pPr>
              <w:pStyle w:val="NormalWeb"/>
              <w:rPr>
                <w:rFonts w:ascii="Arial" w:hAnsi="Arial" w:cs="Arial"/>
                <w:b/>
              </w:rPr>
            </w:pPr>
          </w:p>
        </w:tc>
        <w:tc>
          <w:tcPr>
            <w:tcW w:w="647" w:type="dxa"/>
          </w:tcPr>
          <w:p w:rsidR="00A93F3A" w:rsidRDefault="00A93F3A" w:rsidP="002E5D71">
            <w:pPr>
              <w:rPr>
                <w:rFonts w:ascii="Arial" w:hAnsi="Arial" w:cs="Arial"/>
                <w:b/>
              </w:rPr>
            </w:pPr>
            <w:r>
              <w:rPr>
                <w:rFonts w:ascii="Arial" w:hAnsi="Arial" w:cs="Arial"/>
                <w:b/>
              </w:rPr>
              <w:t>A</w:t>
            </w:r>
          </w:p>
          <w:p w:rsidR="000742F4" w:rsidRDefault="000742F4" w:rsidP="002E5D71">
            <w:pPr>
              <w:rPr>
                <w:rFonts w:ascii="Arial" w:hAnsi="Arial" w:cs="Arial"/>
                <w:b/>
              </w:rPr>
            </w:pPr>
          </w:p>
        </w:tc>
      </w:tr>
      <w:tr w:rsidR="005C0A86" w:rsidTr="00F110EE">
        <w:trPr>
          <w:trHeight w:val="665"/>
        </w:trPr>
        <w:tc>
          <w:tcPr>
            <w:tcW w:w="2020" w:type="dxa"/>
          </w:tcPr>
          <w:p w:rsidR="000742F4" w:rsidRPr="006A565C" w:rsidRDefault="00CA56D7" w:rsidP="002E5D71">
            <w:pPr>
              <w:rPr>
                <w:rFonts w:ascii="Arial" w:hAnsi="Arial" w:cs="Arial"/>
                <w:b/>
                <w:sz w:val="20"/>
                <w:szCs w:val="20"/>
              </w:rPr>
            </w:pPr>
            <w:r w:rsidRPr="006A565C">
              <w:rPr>
                <w:rFonts w:ascii="Arial" w:hAnsi="Arial" w:cs="Arial"/>
                <w:b/>
                <w:sz w:val="20"/>
                <w:szCs w:val="20"/>
              </w:rPr>
              <w:lastRenderedPageBreak/>
              <w:t>Experience</w:t>
            </w:r>
          </w:p>
          <w:p w:rsidR="00CA56D7" w:rsidRPr="00CA56D7" w:rsidRDefault="00CA56D7" w:rsidP="00730291">
            <w:pPr>
              <w:rPr>
                <w:rFonts w:ascii="Arial" w:hAnsi="Arial" w:cs="Arial"/>
                <w:b/>
                <w:sz w:val="16"/>
                <w:szCs w:val="16"/>
              </w:rPr>
            </w:pPr>
          </w:p>
        </w:tc>
        <w:tc>
          <w:tcPr>
            <w:tcW w:w="6831" w:type="dxa"/>
          </w:tcPr>
          <w:p w:rsidR="000742F4" w:rsidRPr="00E46BFD" w:rsidRDefault="00F94214" w:rsidP="00E46BFD">
            <w:pPr>
              <w:pStyle w:val="Default"/>
              <w:rPr>
                <w:sz w:val="22"/>
                <w:szCs w:val="22"/>
              </w:rPr>
            </w:pPr>
            <w:r w:rsidRPr="00CB1E2B">
              <w:rPr>
                <w:sz w:val="22"/>
                <w:szCs w:val="22"/>
              </w:rPr>
              <w:t>Demonstrable and proven experience (either paid or voluntary) of working individually with adults with disabilities, mental health conditions or autism.</w:t>
            </w:r>
          </w:p>
        </w:tc>
        <w:tc>
          <w:tcPr>
            <w:tcW w:w="647" w:type="dxa"/>
          </w:tcPr>
          <w:p w:rsidR="000742F4" w:rsidRDefault="004A019D" w:rsidP="002E5D71">
            <w:pPr>
              <w:rPr>
                <w:rFonts w:ascii="Arial" w:hAnsi="Arial" w:cs="Arial"/>
                <w:b/>
              </w:rPr>
            </w:pPr>
            <w:r>
              <w:rPr>
                <w:rFonts w:ascii="Arial" w:hAnsi="Arial" w:cs="Arial"/>
                <w:b/>
              </w:rPr>
              <w:t>A, I</w:t>
            </w:r>
          </w:p>
        </w:tc>
      </w:tr>
      <w:tr w:rsidR="005C0A86" w:rsidTr="00F110EE">
        <w:trPr>
          <w:trHeight w:val="989"/>
        </w:trPr>
        <w:tc>
          <w:tcPr>
            <w:tcW w:w="2020" w:type="dxa"/>
          </w:tcPr>
          <w:p w:rsidR="000742F4" w:rsidRPr="006A565C" w:rsidRDefault="005C0A86" w:rsidP="002E5D71">
            <w:pPr>
              <w:rPr>
                <w:rFonts w:ascii="Arial" w:hAnsi="Arial" w:cs="Arial"/>
                <w:b/>
                <w:sz w:val="20"/>
                <w:szCs w:val="20"/>
              </w:rPr>
            </w:pPr>
            <w:r>
              <w:rPr>
                <w:rFonts w:ascii="Arial" w:hAnsi="Arial" w:cs="Arial"/>
                <w:b/>
                <w:sz w:val="20"/>
                <w:szCs w:val="20"/>
              </w:rPr>
              <w:t xml:space="preserve">Other </w:t>
            </w:r>
            <w:r w:rsidR="007C3EDA">
              <w:rPr>
                <w:rFonts w:ascii="Arial" w:hAnsi="Arial" w:cs="Arial"/>
                <w:b/>
                <w:sz w:val="20"/>
                <w:szCs w:val="20"/>
              </w:rPr>
              <w:t>requirements</w:t>
            </w:r>
          </w:p>
          <w:p w:rsidR="00CA56D7" w:rsidRPr="00CA56D7" w:rsidRDefault="00CA56D7" w:rsidP="0060547A">
            <w:pPr>
              <w:pStyle w:val="BodyText"/>
              <w:rPr>
                <w:rFonts w:cs="Arial"/>
                <w:b/>
                <w:sz w:val="16"/>
                <w:szCs w:val="16"/>
              </w:rPr>
            </w:pPr>
          </w:p>
        </w:tc>
        <w:tc>
          <w:tcPr>
            <w:tcW w:w="6831" w:type="dxa"/>
          </w:tcPr>
          <w:p w:rsidR="000742F4" w:rsidRDefault="006C70D5" w:rsidP="00F94214">
            <w:pPr>
              <w:pStyle w:val="ListParagraph"/>
              <w:numPr>
                <w:ilvl w:val="0"/>
                <w:numId w:val="8"/>
              </w:numPr>
              <w:ind w:left="317"/>
              <w:rPr>
                <w:rFonts w:ascii="Arial" w:hAnsi="Arial" w:cs="Arial"/>
                <w:b/>
              </w:rPr>
            </w:pPr>
            <w:r w:rsidRPr="00F94214">
              <w:rPr>
                <w:rFonts w:ascii="Arial" w:hAnsi="Arial" w:cs="Arial"/>
              </w:rPr>
              <w:t>The role will require a criminal records check (DBS).</w:t>
            </w:r>
          </w:p>
        </w:tc>
        <w:tc>
          <w:tcPr>
            <w:tcW w:w="647" w:type="dxa"/>
          </w:tcPr>
          <w:p w:rsidR="00A93F3A" w:rsidRPr="004A019D" w:rsidRDefault="004A019D" w:rsidP="00A93F3A">
            <w:pPr>
              <w:rPr>
                <w:rFonts w:ascii="Arial" w:hAnsi="Arial" w:cs="Arial"/>
                <w:b/>
              </w:rPr>
            </w:pPr>
            <w:r w:rsidRPr="004A019D">
              <w:rPr>
                <w:rFonts w:ascii="Arial" w:hAnsi="Arial" w:cs="Arial"/>
                <w:b/>
              </w:rPr>
              <w:t>A</w:t>
            </w:r>
          </w:p>
        </w:tc>
      </w:tr>
    </w:tbl>
    <w:p w:rsidR="00015588" w:rsidRDefault="00015588" w:rsidP="002E5D71">
      <w:pPr>
        <w:rPr>
          <w:rFonts w:ascii="Arial" w:hAnsi="Arial" w:cs="Arial"/>
          <w:b/>
        </w:rPr>
      </w:pPr>
    </w:p>
    <w:p w:rsidR="00177727" w:rsidRPr="008016F9" w:rsidRDefault="008016F9" w:rsidP="008016F9">
      <w:pPr>
        <w:rPr>
          <w:rFonts w:ascii="Arial" w:hAnsi="Arial" w:cs="Arial"/>
          <w:b/>
        </w:rPr>
      </w:pPr>
      <w:r>
        <w:rPr>
          <w:rFonts w:ascii="Arial" w:hAnsi="Arial" w:cs="Arial"/>
          <w:b/>
          <w:noProof/>
          <w:lang w:eastAsia="en-GB"/>
        </w:rPr>
        <w:drawing>
          <wp:inline distT="0" distB="0" distL="0" distR="0">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rsidR="0015219E" w:rsidRPr="00640437" w:rsidRDefault="0015219E" w:rsidP="00D43826">
      <w:pPr>
        <w:pStyle w:val="ListParagraph"/>
        <w:numPr>
          <w:ilvl w:val="0"/>
          <w:numId w:val="8"/>
        </w:numPr>
        <w:spacing w:line="280" w:lineRule="exact"/>
        <w:rPr>
          <w:rFonts w:ascii="Arial" w:hAnsi="Arial" w:cs="Arial"/>
        </w:rPr>
      </w:pPr>
      <w:r w:rsidRPr="00640437">
        <w:rPr>
          <w:rFonts w:ascii="Arial" w:hAnsi="Arial" w:cs="Arial"/>
        </w:rPr>
        <w:t>This is a casual role and work is offered on this basis when we are able to refer students to mentors. Ideally we would like mentors to be available for 2 or more days each week.</w:t>
      </w:r>
    </w:p>
    <w:p w:rsidR="0015219E" w:rsidRPr="00640437" w:rsidRDefault="0015219E" w:rsidP="0015219E">
      <w:pPr>
        <w:pStyle w:val="ListParagraph"/>
        <w:numPr>
          <w:ilvl w:val="0"/>
          <w:numId w:val="8"/>
        </w:numPr>
        <w:rPr>
          <w:rFonts w:ascii="Arial" w:hAnsi="Arial" w:cs="Arial"/>
        </w:rPr>
      </w:pPr>
      <w:r w:rsidRPr="00640437">
        <w:rPr>
          <w:rFonts w:ascii="Arial" w:hAnsi="Arial" w:cs="Arial"/>
        </w:rPr>
        <w:t>Mentors are entitled to annual leave which can be claimed as additional pay. The amount due to each Mentor is calculated on the basis of the number of hours worked during a term and paid at the Mentor</w:t>
      </w:r>
      <w:r w:rsidR="00640437">
        <w:rPr>
          <w:rFonts w:ascii="Arial" w:hAnsi="Arial" w:cs="Arial"/>
        </w:rPr>
        <w:t>’</w:t>
      </w:r>
      <w:r w:rsidRPr="00640437">
        <w:rPr>
          <w:rFonts w:ascii="Arial" w:hAnsi="Arial" w:cs="Arial"/>
        </w:rPr>
        <w:t>s hourly rate. At the end of every term, once the majority of claims have been submitted, the DDT’s Finance Officer will calculate the annual leave entitlement and add this onto the following month’s pay claim. If a Mentor is not expected to submit a claim for that month they will be asked to complete a blank timesheet so that the Finance Officer can then put in details of the accrued hours and process this as part of the next payroll submission. The hours will be paid to you at the end of the next month.</w:t>
      </w:r>
    </w:p>
    <w:p w:rsidR="00781E2D" w:rsidRPr="00640437" w:rsidRDefault="00781E2D" w:rsidP="00781E2D">
      <w:pPr>
        <w:pStyle w:val="ListParagraph"/>
        <w:widowControl w:val="0"/>
        <w:numPr>
          <w:ilvl w:val="0"/>
          <w:numId w:val="8"/>
        </w:numPr>
        <w:tabs>
          <w:tab w:val="left" w:pos="2736"/>
        </w:tabs>
        <w:rPr>
          <w:rFonts w:ascii="Arial" w:hAnsi="Arial" w:cs="Arial"/>
        </w:rPr>
      </w:pPr>
      <w:r w:rsidRPr="00640437">
        <w:rPr>
          <w:rFonts w:ascii="Arial" w:hAnsi="Arial" w:cs="Arial"/>
        </w:rPr>
        <w:t xml:space="preserve">Salaries are paid monthly in arrears through the BACS System directly into the bank or building society account of each member of staff. </w:t>
      </w:r>
    </w:p>
    <w:p w:rsidR="00640437" w:rsidRDefault="00781E2D" w:rsidP="00640437">
      <w:pPr>
        <w:pStyle w:val="ListParagraph"/>
        <w:widowControl w:val="0"/>
        <w:numPr>
          <w:ilvl w:val="0"/>
          <w:numId w:val="8"/>
        </w:numPr>
        <w:tabs>
          <w:tab w:val="left" w:pos="2736"/>
        </w:tabs>
        <w:rPr>
          <w:rFonts w:ascii="Arial" w:hAnsi="Arial" w:cs="Arial"/>
        </w:rPr>
      </w:pPr>
      <w:r w:rsidRPr="00640437">
        <w:rPr>
          <w:rFonts w:ascii="Arial" w:hAnsi="Arial" w:cs="Arial"/>
        </w:rPr>
        <w:t>This rol</w:t>
      </w:r>
      <w:r w:rsidR="00711BEA">
        <w:rPr>
          <w:rFonts w:ascii="Arial" w:hAnsi="Arial" w:cs="Arial"/>
        </w:rPr>
        <w:t>e has a sessional rate of £23</w:t>
      </w:r>
      <w:r w:rsidRPr="00640437">
        <w:rPr>
          <w:rFonts w:ascii="Arial" w:hAnsi="Arial" w:cs="Arial"/>
        </w:rPr>
        <w:t xml:space="preserve"> per session. This includes the hour spent with the student and pre and post session work such as arranging future sessions, writing up notes and communicating with the Disability &amp; Dyslexia Team when needed.</w:t>
      </w:r>
    </w:p>
    <w:p w:rsidR="00640437" w:rsidRPr="00640437" w:rsidRDefault="00D43826" w:rsidP="00640437">
      <w:pPr>
        <w:pStyle w:val="ListParagraph"/>
        <w:widowControl w:val="0"/>
        <w:numPr>
          <w:ilvl w:val="0"/>
          <w:numId w:val="8"/>
        </w:numPr>
        <w:tabs>
          <w:tab w:val="left" w:pos="2736"/>
        </w:tabs>
        <w:rPr>
          <w:rStyle w:val="Hyperlink"/>
          <w:rFonts w:ascii="Arial" w:hAnsi="Arial" w:cs="Arial"/>
          <w:color w:val="auto"/>
          <w:u w:val="none"/>
        </w:rPr>
      </w:pPr>
      <w:r w:rsidRPr="00640437">
        <w:rPr>
          <w:rFonts w:ascii="Arial" w:hAnsi="Arial" w:cs="Arial"/>
        </w:rPr>
        <w:t xml:space="preserve">More information about the department can be found </w:t>
      </w:r>
      <w:hyperlink r:id="rId15" w:history="1">
        <w:r w:rsidRPr="00640437">
          <w:rPr>
            <w:rStyle w:val="Hyperlink"/>
            <w:rFonts w:ascii="Arial" w:hAnsi="Arial" w:cs="Arial"/>
          </w:rPr>
          <w:t>here</w:t>
        </w:r>
      </w:hyperlink>
    </w:p>
    <w:p w:rsidR="00D43826" w:rsidRPr="00640437" w:rsidRDefault="00D43826" w:rsidP="00640437">
      <w:pPr>
        <w:pStyle w:val="ListParagraph"/>
        <w:widowControl w:val="0"/>
        <w:numPr>
          <w:ilvl w:val="0"/>
          <w:numId w:val="8"/>
        </w:numPr>
        <w:tabs>
          <w:tab w:val="left" w:pos="2736"/>
        </w:tabs>
        <w:rPr>
          <w:rFonts w:ascii="Arial" w:hAnsi="Arial" w:cs="Arial"/>
        </w:rPr>
      </w:pPr>
      <w:r w:rsidRPr="00640437">
        <w:rPr>
          <w:rFonts w:ascii="Arial" w:hAnsi="Arial" w:cs="Arial"/>
        </w:rPr>
        <w:t xml:space="preserve">The University has an attractive range of benefits and you can find more information about them on our </w:t>
      </w:r>
      <w:hyperlink r:id="rId16" w:history="1">
        <w:r w:rsidRPr="00640437">
          <w:rPr>
            <w:rStyle w:val="Hyperlink"/>
            <w:rFonts w:ascii="Arial" w:hAnsi="Arial" w:cs="Arial"/>
          </w:rPr>
          <w:t>website.</w:t>
        </w:r>
      </w:hyperlink>
    </w:p>
    <w:p w:rsidR="00D43826" w:rsidRPr="00D43826" w:rsidRDefault="00D43826" w:rsidP="00D43826">
      <w:pPr>
        <w:pStyle w:val="ListParagraph"/>
        <w:rPr>
          <w:rFonts w:ascii="Arial" w:hAnsi="Arial" w:cs="Arial"/>
        </w:rPr>
      </w:pPr>
    </w:p>
    <w:sectPr w:rsidR="00D43826" w:rsidRPr="00D43826" w:rsidSect="00F110EE">
      <w:headerReference w:type="default" r:id="rId17"/>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35" w:rsidRDefault="007D6935" w:rsidP="000742F4">
      <w:pPr>
        <w:spacing w:after="0" w:line="240" w:lineRule="auto"/>
      </w:pPr>
      <w:r>
        <w:separator/>
      </w:r>
    </w:p>
  </w:endnote>
  <w:endnote w:type="continuationSeparator" w:id="0">
    <w:p w:rsidR="007D6935" w:rsidRDefault="007D6935"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0A" w:rsidRDefault="00A6540A">
    <w:pPr>
      <w:pStyle w:val="Footer"/>
    </w:pPr>
  </w:p>
  <w:p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35" w:rsidRDefault="007D6935" w:rsidP="000742F4">
      <w:pPr>
        <w:spacing w:after="0" w:line="240" w:lineRule="auto"/>
      </w:pPr>
      <w:r>
        <w:separator/>
      </w:r>
    </w:p>
  </w:footnote>
  <w:footnote w:type="continuationSeparator" w:id="0">
    <w:p w:rsidR="007D6935" w:rsidRDefault="007D6935"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6C8"/>
    <w:multiLevelType w:val="hybridMultilevel"/>
    <w:tmpl w:val="1DD4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550"/>
    <w:multiLevelType w:val="hybridMultilevel"/>
    <w:tmpl w:val="EAE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777AB"/>
    <w:multiLevelType w:val="hybridMultilevel"/>
    <w:tmpl w:val="770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F8E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70E4B"/>
    <w:multiLevelType w:val="hybridMultilevel"/>
    <w:tmpl w:val="E94A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15D39"/>
    <w:multiLevelType w:val="hybridMultilevel"/>
    <w:tmpl w:val="58D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B269C"/>
    <w:multiLevelType w:val="hybridMultilevel"/>
    <w:tmpl w:val="AE8E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D4BC0"/>
    <w:multiLevelType w:val="hybridMultilevel"/>
    <w:tmpl w:val="EB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15CDC"/>
    <w:multiLevelType w:val="hybridMultilevel"/>
    <w:tmpl w:val="4328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0188C"/>
    <w:multiLevelType w:val="hybridMultilevel"/>
    <w:tmpl w:val="B8FE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4"/>
  </w:num>
  <w:num w:numId="5">
    <w:abstractNumId w:val="9"/>
  </w:num>
  <w:num w:numId="6">
    <w:abstractNumId w:val="3"/>
  </w:num>
  <w:num w:numId="7">
    <w:abstractNumId w:val="6"/>
  </w:num>
  <w:num w:numId="8">
    <w:abstractNumId w:val="4"/>
  </w:num>
  <w:num w:numId="9">
    <w:abstractNumId w:val="12"/>
  </w:num>
  <w:num w:numId="10">
    <w:abstractNumId w:val="1"/>
  </w:num>
  <w:num w:numId="11">
    <w:abstractNumId w:val="11"/>
  </w:num>
  <w:num w:numId="12">
    <w:abstractNumId w:val="2"/>
  </w:num>
  <w:num w:numId="13">
    <w:abstractNumId w:val="10"/>
  </w:num>
  <w:num w:numId="14">
    <w:abstractNumId w:val="7"/>
  </w:num>
  <w:num w:numId="15">
    <w:abstractNumId w:val="17"/>
  </w:num>
  <w:num w:numId="16">
    <w:abstractNumId w:val="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5D71"/>
    <w:rsid w:val="00001FA5"/>
    <w:rsid w:val="00006C32"/>
    <w:rsid w:val="000131FC"/>
    <w:rsid w:val="00015588"/>
    <w:rsid w:val="00032BBA"/>
    <w:rsid w:val="0004514C"/>
    <w:rsid w:val="0005023F"/>
    <w:rsid w:val="00062BED"/>
    <w:rsid w:val="000742F4"/>
    <w:rsid w:val="00102A55"/>
    <w:rsid w:val="001456D0"/>
    <w:rsid w:val="0015219E"/>
    <w:rsid w:val="00164B3A"/>
    <w:rsid w:val="00177727"/>
    <w:rsid w:val="001910EF"/>
    <w:rsid w:val="001D306B"/>
    <w:rsid w:val="001F0B2B"/>
    <w:rsid w:val="001F60AB"/>
    <w:rsid w:val="002147F7"/>
    <w:rsid w:val="0024082E"/>
    <w:rsid w:val="002409F7"/>
    <w:rsid w:val="00272726"/>
    <w:rsid w:val="00294B38"/>
    <w:rsid w:val="002B23BF"/>
    <w:rsid w:val="002E5D71"/>
    <w:rsid w:val="0030586C"/>
    <w:rsid w:val="00350424"/>
    <w:rsid w:val="003648EB"/>
    <w:rsid w:val="003A6FCD"/>
    <w:rsid w:val="003B1D54"/>
    <w:rsid w:val="003D0706"/>
    <w:rsid w:val="003E1BDE"/>
    <w:rsid w:val="003F08D0"/>
    <w:rsid w:val="00445AE7"/>
    <w:rsid w:val="004A019D"/>
    <w:rsid w:val="004D6B35"/>
    <w:rsid w:val="004E44E8"/>
    <w:rsid w:val="0054409E"/>
    <w:rsid w:val="00546618"/>
    <w:rsid w:val="0058455B"/>
    <w:rsid w:val="005906CE"/>
    <w:rsid w:val="005A2304"/>
    <w:rsid w:val="005A27CE"/>
    <w:rsid w:val="005C0A86"/>
    <w:rsid w:val="005C1C9E"/>
    <w:rsid w:val="005F7418"/>
    <w:rsid w:val="00601DB9"/>
    <w:rsid w:val="0060547A"/>
    <w:rsid w:val="0061536F"/>
    <w:rsid w:val="00623555"/>
    <w:rsid w:val="00623C07"/>
    <w:rsid w:val="0063649E"/>
    <w:rsid w:val="006372DE"/>
    <w:rsid w:val="00640437"/>
    <w:rsid w:val="00640846"/>
    <w:rsid w:val="00664507"/>
    <w:rsid w:val="00695F0A"/>
    <w:rsid w:val="006A565C"/>
    <w:rsid w:val="006C19B1"/>
    <w:rsid w:val="006C70D5"/>
    <w:rsid w:val="006F7241"/>
    <w:rsid w:val="00707C7F"/>
    <w:rsid w:val="00711BEA"/>
    <w:rsid w:val="00726375"/>
    <w:rsid w:val="00730291"/>
    <w:rsid w:val="00746DA0"/>
    <w:rsid w:val="00751C6D"/>
    <w:rsid w:val="00781E2D"/>
    <w:rsid w:val="007C3EDA"/>
    <w:rsid w:val="007D4114"/>
    <w:rsid w:val="007D6935"/>
    <w:rsid w:val="007E4ED8"/>
    <w:rsid w:val="008016F9"/>
    <w:rsid w:val="00816209"/>
    <w:rsid w:val="008D04F4"/>
    <w:rsid w:val="008D5B3F"/>
    <w:rsid w:val="00900CC3"/>
    <w:rsid w:val="00910B42"/>
    <w:rsid w:val="00922E48"/>
    <w:rsid w:val="009268BB"/>
    <w:rsid w:val="009614A2"/>
    <w:rsid w:val="009624EE"/>
    <w:rsid w:val="00987E06"/>
    <w:rsid w:val="009B11B1"/>
    <w:rsid w:val="009B6D02"/>
    <w:rsid w:val="00A43BA9"/>
    <w:rsid w:val="00A6540A"/>
    <w:rsid w:val="00A87122"/>
    <w:rsid w:val="00A90952"/>
    <w:rsid w:val="00A93F3A"/>
    <w:rsid w:val="00A965A8"/>
    <w:rsid w:val="00AF0D3F"/>
    <w:rsid w:val="00B113FA"/>
    <w:rsid w:val="00B30E4E"/>
    <w:rsid w:val="00B454E1"/>
    <w:rsid w:val="00B9414B"/>
    <w:rsid w:val="00BE0464"/>
    <w:rsid w:val="00BF46A6"/>
    <w:rsid w:val="00C2109F"/>
    <w:rsid w:val="00C365AC"/>
    <w:rsid w:val="00C41960"/>
    <w:rsid w:val="00C4725D"/>
    <w:rsid w:val="00C53FCA"/>
    <w:rsid w:val="00C82F11"/>
    <w:rsid w:val="00CA1FF7"/>
    <w:rsid w:val="00CA2D03"/>
    <w:rsid w:val="00CA56D7"/>
    <w:rsid w:val="00CA6B22"/>
    <w:rsid w:val="00CB1E2B"/>
    <w:rsid w:val="00CE15D8"/>
    <w:rsid w:val="00D400C4"/>
    <w:rsid w:val="00D43826"/>
    <w:rsid w:val="00DA5AD1"/>
    <w:rsid w:val="00DE2231"/>
    <w:rsid w:val="00E46BFD"/>
    <w:rsid w:val="00E73CF9"/>
    <w:rsid w:val="00EC6878"/>
    <w:rsid w:val="00EF164E"/>
    <w:rsid w:val="00F110EE"/>
    <w:rsid w:val="00F21F41"/>
    <w:rsid w:val="00F24227"/>
    <w:rsid w:val="00F26CB6"/>
    <w:rsid w:val="00F2755E"/>
    <w:rsid w:val="00F93015"/>
    <w:rsid w:val="00F94214"/>
    <w:rsid w:val="00FB1CB1"/>
    <w:rsid w:val="00FD45B8"/>
    <w:rsid w:val="00FE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E40B5"/>
  <w15:docId w15:val="{D7CC0447-390F-485D-ADAB-DF40A9B3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3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D43826"/>
    <w:rPr>
      <w:color w:val="0000FF" w:themeColor="hyperlink"/>
      <w:u w:val="single"/>
    </w:rPr>
  </w:style>
  <w:style w:type="character" w:styleId="FollowedHyperlink">
    <w:name w:val="FollowedHyperlink"/>
    <w:basedOn w:val="DefaultParagraphFont"/>
    <w:uiPriority w:val="99"/>
    <w:semiHidden/>
    <w:unhideWhenUsed/>
    <w:rsid w:val="00D43826"/>
    <w:rPr>
      <w:color w:val="800080" w:themeColor="followedHyperlink"/>
      <w:u w:val="single"/>
    </w:rPr>
  </w:style>
  <w:style w:type="paragraph" w:styleId="NormalWeb">
    <w:name w:val="Normal (Web)"/>
    <w:basedOn w:val="Normal"/>
    <w:uiPriority w:val="99"/>
    <w:unhideWhenUsed/>
    <w:rsid w:val="001D306B"/>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1F60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F58C0C-B176-48AA-99A3-6D2D0540F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DED9D8-EF7B-44BD-AA55-E7AC10B5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Hird</dc:creator>
  <cp:lastModifiedBy>Martin Wood</cp:lastModifiedBy>
  <cp:revision>3</cp:revision>
  <cp:lastPrinted>2018-07-03T10:15:00Z</cp:lastPrinted>
  <dcterms:created xsi:type="dcterms:W3CDTF">2019-07-15T07:17:00Z</dcterms:created>
  <dcterms:modified xsi:type="dcterms:W3CDTF">2019-07-19T08:26:00Z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3575ef30-55b7-4e68-a863-5ee752af219a</vt:lpwstr>
  </property>
  <property fmtid="{D5CDD505-2E9C-101B-9397-08002B2CF9AE}" pid="7" name="_dlc_DocId">
    <vt:lpwstr>YHTY7QPWXA4N-220728286-118</vt:lpwstr>
  </property>
  <property fmtid="{D5CDD505-2E9C-101B-9397-08002B2CF9AE}" pid="8" name="_dlc_DocIdUrl">
    <vt:lpwstr>https://staff.brighton.ac.uk/hr/_layouts/DocIdRedir.aspx?ID=YHTY7QPWXA4N-220728286-118, YHTY7QPWXA4N-220728286-118</vt:lpwstr>
  </property>
  <property fmtid="{D5CDD505-2E9C-101B-9397-08002B2CF9AE}" pid="9" name="Academic Year">
    <vt:lpwstr/>
  </property>
</Properties>
</file>