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F168AA">
      <w:pPr>
        <w:spacing w:after="0"/>
        <w:rPr>
          <w:rFonts w:ascii="Arial" w:hAnsi="Arial" w:cs="Arial"/>
          <w:b/>
        </w:rPr>
      </w:pPr>
    </w:p>
    <w:p w14:paraId="55290609" w14:textId="766B1142" w:rsidR="00725041" w:rsidRPr="00AB523C" w:rsidRDefault="00725041" w:rsidP="00F168AA">
      <w:pPr>
        <w:widowControl w:val="0"/>
        <w:tabs>
          <w:tab w:val="left" w:pos="2736"/>
        </w:tabs>
        <w:rPr>
          <w:rFonts w:ascii="Arial" w:hAnsi="Arial" w:cs="Arial"/>
          <w:b/>
          <w:sz w:val="24"/>
          <w:szCs w:val="24"/>
        </w:rPr>
      </w:pPr>
      <w:r w:rsidRPr="00AB523C">
        <w:rPr>
          <w:rFonts w:ascii="Arial" w:hAnsi="Arial" w:cs="Arial"/>
          <w:b/>
          <w:sz w:val="24"/>
          <w:szCs w:val="24"/>
        </w:rPr>
        <w:t>Appointme</w:t>
      </w:r>
      <w:r w:rsidR="000B4DA3">
        <w:rPr>
          <w:rFonts w:ascii="Arial" w:hAnsi="Arial" w:cs="Arial"/>
          <w:b/>
          <w:sz w:val="24"/>
          <w:szCs w:val="24"/>
        </w:rPr>
        <w:t>nt of a Lecturer</w:t>
      </w:r>
      <w:r w:rsidR="003C4D42">
        <w:rPr>
          <w:rFonts w:ascii="Arial" w:hAnsi="Arial" w:cs="Arial"/>
          <w:b/>
          <w:sz w:val="24"/>
          <w:szCs w:val="24"/>
        </w:rPr>
        <w:t xml:space="preserve"> in Fashion</w:t>
      </w:r>
      <w:r w:rsidR="00A27D7C">
        <w:rPr>
          <w:rFonts w:ascii="Arial" w:hAnsi="Arial" w:cs="Arial"/>
          <w:b/>
          <w:sz w:val="24"/>
          <w:szCs w:val="24"/>
        </w:rPr>
        <w:t xml:space="preserve"> </w:t>
      </w:r>
      <w:r w:rsidR="003C4D42">
        <w:rPr>
          <w:rFonts w:ascii="Arial" w:hAnsi="Arial" w:cs="Arial"/>
          <w:b/>
          <w:sz w:val="24"/>
          <w:szCs w:val="24"/>
        </w:rPr>
        <w:t>(0.</w:t>
      </w:r>
      <w:r w:rsidR="00A27D7C">
        <w:rPr>
          <w:rFonts w:ascii="Arial" w:hAnsi="Arial" w:cs="Arial"/>
          <w:b/>
          <w:sz w:val="24"/>
          <w:szCs w:val="24"/>
        </w:rPr>
        <w:t>2</w:t>
      </w:r>
      <w:r w:rsidR="00A457D8">
        <w:rPr>
          <w:rFonts w:ascii="Arial" w:hAnsi="Arial" w:cs="Arial"/>
          <w:b/>
          <w:sz w:val="24"/>
          <w:szCs w:val="24"/>
        </w:rPr>
        <w:t xml:space="preserve"> </w:t>
      </w:r>
      <w:r w:rsidR="003D2A5E">
        <w:rPr>
          <w:rFonts w:ascii="Arial" w:hAnsi="Arial" w:cs="Arial"/>
          <w:b/>
          <w:sz w:val="24"/>
          <w:szCs w:val="24"/>
        </w:rPr>
        <w:t>full-time equivalent)</w:t>
      </w:r>
    </w:p>
    <w:p w14:paraId="0DD1DD03" w14:textId="77777777" w:rsidR="008758F8" w:rsidRDefault="00725041" w:rsidP="00F168AA">
      <w:pPr>
        <w:ind w:left="2127" w:hanging="2127"/>
        <w:rPr>
          <w:rFonts w:ascii="Arial" w:hAnsi="Arial" w:cs="Arial"/>
          <w:b/>
        </w:rPr>
      </w:pPr>
      <w:r w:rsidRPr="00FF59B0">
        <w:rPr>
          <w:rFonts w:ascii="Arial" w:hAnsi="Arial" w:cs="Arial"/>
          <w:b/>
        </w:rPr>
        <w:t>The Job</w:t>
      </w:r>
    </w:p>
    <w:p w14:paraId="09D872A0" w14:textId="0875BE3C" w:rsidR="00A27D7C" w:rsidRPr="00A27D7C" w:rsidRDefault="00A27D7C" w:rsidP="00A27D7C">
      <w:pPr>
        <w:rPr>
          <w:rFonts w:ascii="Arial" w:hAnsi="Arial" w:cs="Arial"/>
        </w:rPr>
      </w:pPr>
      <w:r w:rsidRPr="00A27D7C">
        <w:rPr>
          <w:rFonts w:ascii="Arial" w:hAnsi="Arial" w:cs="Arial"/>
          <w:color w:val="262626"/>
          <w:lang w:val="en-US"/>
        </w:rPr>
        <w:t xml:space="preserve">We are looking for a </w:t>
      </w:r>
      <w:r w:rsidRPr="00A27D7C">
        <w:rPr>
          <w:rFonts w:ascii="Arial" w:hAnsi="Arial" w:cs="Arial"/>
        </w:rPr>
        <w:t xml:space="preserve">0.2 </w:t>
      </w:r>
      <w:proofErr w:type="spellStart"/>
      <w:r w:rsidRPr="00A27D7C">
        <w:rPr>
          <w:rFonts w:ascii="Arial" w:hAnsi="Arial" w:cs="Arial"/>
        </w:rPr>
        <w:t>fte</w:t>
      </w:r>
      <w:proofErr w:type="spellEnd"/>
      <w:r w:rsidRPr="00A27D7C">
        <w:rPr>
          <w:rFonts w:ascii="Arial" w:hAnsi="Arial" w:cs="Arial"/>
        </w:rPr>
        <w:t xml:space="preserve"> Lecturer in Fashion Design</w:t>
      </w:r>
      <w:r w:rsidR="003F3A20">
        <w:rPr>
          <w:rFonts w:ascii="Arial" w:hAnsi="Arial" w:cs="Arial"/>
        </w:rPr>
        <w:t xml:space="preserve"> </w:t>
      </w:r>
      <w:r w:rsidRPr="00A27D7C">
        <w:rPr>
          <w:rFonts w:ascii="Arial" w:hAnsi="Arial" w:cs="Arial"/>
        </w:rPr>
        <w:t xml:space="preserve">to support the existing course team. The ideal candidate will have had previous industry experience in a creative design and/or product development role within the fashion Industry.  This post requires specific skills and experience using a range of digital solutions and specialist software packages applicable to the fashion design and product development process, including the Adobe Creative Package. </w:t>
      </w:r>
      <w:r w:rsidRPr="00A27D7C">
        <w:rPr>
          <w:rFonts w:ascii="Arial" w:hAnsi="Arial" w:cs="Arial"/>
          <w:color w:val="262626"/>
          <w:lang w:val="en-US"/>
        </w:rPr>
        <w:t xml:space="preserve">Additional experience using specialist Fashion Computer Aided Design and Product Lifecycle Management systems, is also desirable. </w:t>
      </w:r>
      <w:r w:rsidRPr="00A27D7C">
        <w:rPr>
          <w:rFonts w:ascii="Arial" w:hAnsi="Arial" w:cs="Arial"/>
        </w:rPr>
        <w:t>The Fashion and Textiles programme at the University of Brighton is known for an exciting and energetic design philosophy rooted in understanding design through making, its’ research excellence in this area, innovative teaching and learning opportunities and strong links with the creative industries.</w:t>
      </w:r>
      <w:r w:rsidRPr="00A27D7C">
        <w:rPr>
          <w:rFonts w:ascii="Arial" w:hAnsi="Arial" w:cs="Arial"/>
          <w:color w:val="FF0000"/>
        </w:rPr>
        <w:t xml:space="preserve"> </w:t>
      </w:r>
    </w:p>
    <w:p w14:paraId="2C3940FE" w14:textId="4BB371B4" w:rsidR="00A27D7C" w:rsidRPr="00A27D7C" w:rsidRDefault="00A27D7C" w:rsidP="00A27D7C">
      <w:pPr>
        <w:rPr>
          <w:rFonts w:ascii="Arial" w:hAnsi="Arial" w:cs="Arial"/>
        </w:rPr>
      </w:pPr>
      <w:r w:rsidRPr="00A27D7C">
        <w:rPr>
          <w:rFonts w:ascii="Arial" w:hAnsi="Arial" w:cs="Arial"/>
        </w:rPr>
        <w:t>The School of Art comprises a dynamic group of scholars and practitioners working in a unique teaching and research environment that enables exploration in traditional skills of fashion and textiles design, industry-based technologies such as CAD, digital printing , 3D scanning and printing and laser cutting technologies</w:t>
      </w:r>
      <w:r>
        <w:rPr>
          <w:rFonts w:ascii="Arial" w:hAnsi="Arial" w:cs="Arial"/>
        </w:rPr>
        <w:t>,</w:t>
      </w:r>
      <w:r w:rsidRPr="00A27D7C">
        <w:rPr>
          <w:rFonts w:ascii="Arial" w:hAnsi="Arial" w:cs="Arial"/>
        </w:rPr>
        <w:t xml:space="preserve"> as well as cross disciplinary collaboration with those engaged in computing, electronics, engineering and medicine.</w:t>
      </w:r>
    </w:p>
    <w:p w14:paraId="3F05E4B0" w14:textId="2331DFFA" w:rsidR="005872FE" w:rsidRPr="005872FE" w:rsidRDefault="005872FE" w:rsidP="005872FE">
      <w:pPr>
        <w:widowControl w:val="0"/>
        <w:autoSpaceDE w:val="0"/>
        <w:autoSpaceDN w:val="0"/>
        <w:adjustRightInd w:val="0"/>
        <w:rPr>
          <w:rFonts w:ascii="Arial" w:hAnsi="Arial" w:cs="Arial"/>
          <w:lang w:val="en-US"/>
        </w:rPr>
      </w:pPr>
      <w:r w:rsidRPr="005872FE">
        <w:rPr>
          <w:rFonts w:ascii="Arial" w:hAnsi="Arial" w:cs="Arial"/>
          <w:lang w:val="en-US"/>
        </w:rPr>
        <w:t>The school draws together a comprehensive range of disciplines and professions that span fine art, design and applied arts.</w:t>
      </w:r>
    </w:p>
    <w:p w14:paraId="0026C985" w14:textId="469D08A6" w:rsidR="00725041" w:rsidRPr="005872FE" w:rsidRDefault="005872FE" w:rsidP="005872FE">
      <w:pPr>
        <w:widowControl w:val="0"/>
        <w:autoSpaceDE w:val="0"/>
        <w:autoSpaceDN w:val="0"/>
        <w:adjustRightInd w:val="0"/>
        <w:rPr>
          <w:rFonts w:ascii="Arial" w:hAnsi="Arial" w:cs="Arial"/>
          <w:lang w:val="en-US"/>
        </w:rPr>
      </w:pPr>
      <w:r w:rsidRPr="005872FE">
        <w:rPr>
          <w:rFonts w:ascii="Arial" w:hAnsi="Arial" w:cs="Arial"/>
          <w:lang w:val="en-US"/>
        </w:rPr>
        <w:t>Based on ‘Practical Wisdom’, we are committed to the advancement and delivery of creative, cultural and socially purposeful higher education that contributes to the civic and public good and strengthens our societal and economic resilience. The School is a vibrant, outward facing, agile and resilient community of staff and students, built on transparency and trust, with the student experience at the heart of everything we do. This can be seen in our partnerships, collaborations and engagement with both local and international communities. These are of mutual benefit and ensure a globally relevant and purposeful student and staff experience that integrates and applies research and professional knowledge to questioning and contributing to well-being and culture regionally and internationally.</w:t>
      </w:r>
      <w:r w:rsidR="00725041" w:rsidRPr="00FF59B0">
        <w:rPr>
          <w:rFonts w:ascii="Arial" w:hAnsi="Arial" w:cs="Arial"/>
          <w:b/>
        </w:rPr>
        <w:tab/>
      </w:r>
    </w:p>
    <w:p w14:paraId="1D4C7FF2" w14:textId="54BC760B"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w:t>
      </w:r>
      <w:r w:rsidR="00A457D8">
        <w:rPr>
          <w:rFonts w:ascii="Arial" w:hAnsi="Arial" w:cs="Arial"/>
        </w:rPr>
        <w:t>.</w:t>
      </w:r>
    </w:p>
    <w:p w14:paraId="17138592" w14:textId="2092604B"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F168AA">
      <w:pPr>
        <w:rPr>
          <w:rFonts w:ascii="Arial" w:hAnsi="Arial" w:cs="Arial"/>
        </w:rPr>
      </w:pPr>
      <w:r w:rsidRPr="00FF59B0">
        <w:rPr>
          <w:rFonts w:ascii="Arial" w:hAnsi="Arial" w:cs="Arial"/>
        </w:rPr>
        <w:lastRenderedPageBreak/>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5D095F08" w14:textId="5BBD9462" w:rsidR="00A457D8" w:rsidRPr="00153E03" w:rsidRDefault="00725041" w:rsidP="00F168AA">
      <w:pPr>
        <w:rPr>
          <w:rFonts w:ascii="Arial" w:hAnsi="Arial" w:cs="Arial"/>
        </w:rPr>
      </w:pPr>
      <w:r w:rsidRPr="00FF59B0">
        <w:rPr>
          <w:rFonts w:ascii="Arial" w:hAnsi="Arial" w:cs="Arial"/>
        </w:rPr>
        <w:t xml:space="preserve">A Lecturer is expected to: continually update their disciplinary and/or professional knowledge </w:t>
      </w:r>
      <w:r w:rsidR="00153E03">
        <w:rPr>
          <w:rFonts w:ascii="Arial" w:hAnsi="Arial" w:cs="Arial"/>
        </w:rPr>
        <w:t xml:space="preserve">and understanding; </w:t>
      </w:r>
      <w:r w:rsidRPr="00FF59B0">
        <w:rPr>
          <w:rFonts w:ascii="Arial" w:hAnsi="Arial" w:cs="Arial"/>
        </w:rPr>
        <w:t>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C54E6C1" w14:textId="77777777" w:rsidR="00725041" w:rsidRPr="00725041" w:rsidRDefault="00725041" w:rsidP="00F168AA">
      <w:pPr>
        <w:rPr>
          <w:rFonts w:ascii="Arial" w:hAnsi="Arial" w:cs="Arial"/>
          <w:b/>
        </w:rPr>
      </w:pPr>
      <w:r w:rsidRPr="00725041">
        <w:rPr>
          <w:rFonts w:ascii="Arial" w:hAnsi="Arial" w:cs="Arial"/>
          <w:b/>
        </w:rPr>
        <w:t>Communication</w:t>
      </w:r>
    </w:p>
    <w:p w14:paraId="72A54E3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5C825957" w14:textId="4211241C"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1F7C2F79" w:rsidR="00725041" w:rsidRPr="00FF59B0" w:rsidRDefault="00153E03" w:rsidP="00F168AA">
      <w:pPr>
        <w:rPr>
          <w:rFonts w:ascii="Arial" w:hAnsi="Arial" w:cs="Arial"/>
        </w:rPr>
      </w:pPr>
      <w:r>
        <w:rPr>
          <w:rFonts w:ascii="Arial" w:hAnsi="Arial" w:cs="Arial"/>
        </w:rPr>
        <w:t>A Lecturer</w:t>
      </w:r>
      <w:r w:rsidR="00725041" w:rsidRPr="00FF59B0">
        <w:rPr>
          <w:rFonts w:ascii="Arial" w:hAnsi="Arial" w:cs="Arial"/>
        </w:rPr>
        <w:t xml:space="preserve">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lastRenderedPageBreak/>
        <w:t>Initiative, problem-solving and decision m</w:t>
      </w:r>
      <w:r w:rsidR="00725041" w:rsidRPr="00AB523C">
        <w:rPr>
          <w:rFonts w:ascii="Arial" w:hAnsi="Arial" w:cs="Arial"/>
          <w:b/>
        </w:rPr>
        <w:t xml:space="preserve">aking </w:t>
      </w:r>
    </w:p>
    <w:p w14:paraId="581079C6" w14:textId="77777777" w:rsidR="00725041" w:rsidRPr="00FF59B0" w:rsidRDefault="00725041" w:rsidP="00F168AA">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77777777" w:rsidR="00725041" w:rsidRPr="00FF59B0" w:rsidRDefault="00725041" w:rsidP="00F168AA">
      <w:pPr>
        <w:rPr>
          <w:rFonts w:ascii="Arial" w:hAnsi="Arial" w:cs="Arial"/>
        </w:rPr>
      </w:pPr>
      <w:proofErr w:type="gramStart"/>
      <w:r w:rsidRPr="00FF59B0">
        <w:rPr>
          <w:rFonts w:ascii="Arial" w:hAnsi="Arial" w:cs="Arial"/>
        </w:rPr>
        <w:t>A  Lecturer</w:t>
      </w:r>
      <w:proofErr w:type="gramEnd"/>
      <w:r w:rsidRPr="00FF59B0">
        <w:rPr>
          <w:rFonts w:ascii="Arial" w:hAnsi="Arial" w:cs="Arial"/>
        </w:rPr>
        <w:t xml:space="preserve">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76B3E054" w14:textId="434ACED8" w:rsidR="00725041" w:rsidRPr="00AB523C" w:rsidRDefault="00AB523C" w:rsidP="00F168AA">
      <w:pPr>
        <w:rPr>
          <w:rFonts w:ascii="Arial" w:hAnsi="Arial" w:cs="Arial"/>
          <w:b/>
        </w:rPr>
      </w:pPr>
      <w:r>
        <w:rPr>
          <w:rFonts w:ascii="Arial" w:hAnsi="Arial" w:cs="Arial"/>
          <w:b/>
        </w:rPr>
        <w:t>Knowledge and q</w:t>
      </w:r>
      <w:r w:rsidR="00725041" w:rsidRPr="00AB523C">
        <w:rPr>
          <w:rFonts w:ascii="Arial" w:hAnsi="Arial" w:cs="Arial"/>
          <w:b/>
        </w:rPr>
        <w:t>ualifications</w:t>
      </w:r>
    </w:p>
    <w:p w14:paraId="6CD2A9B4" w14:textId="0CDD3E01" w:rsidR="00A16D2A" w:rsidRDefault="00153E03" w:rsidP="00F168AA">
      <w:pPr>
        <w:rPr>
          <w:rFonts w:ascii="Arial" w:hAnsi="Arial" w:cs="Arial"/>
        </w:rPr>
      </w:pPr>
      <w:r>
        <w:rPr>
          <w:rFonts w:ascii="Arial" w:hAnsi="Arial" w:cs="Arial"/>
        </w:rPr>
        <w:t>Appointment to</w:t>
      </w:r>
      <w:r w:rsidR="00725041" w:rsidRPr="00FF59B0">
        <w:rPr>
          <w:rFonts w:ascii="Arial" w:hAnsi="Arial" w:cs="Arial"/>
        </w:rPr>
        <w:t xml:space="preserve"> </w:t>
      </w:r>
      <w:r w:rsidR="00725041">
        <w:rPr>
          <w:rFonts w:ascii="Arial" w:hAnsi="Arial" w:cs="Arial"/>
        </w:rPr>
        <w:t xml:space="preserve">the </w:t>
      </w:r>
      <w:r w:rsidR="00725041" w:rsidRPr="00FF59B0">
        <w:rPr>
          <w:rFonts w:ascii="Arial" w:hAnsi="Arial" w:cs="Arial"/>
        </w:rPr>
        <w:t>Lec</w:t>
      </w:r>
      <w:r>
        <w:rPr>
          <w:rFonts w:ascii="Arial" w:hAnsi="Arial" w:cs="Arial"/>
        </w:rPr>
        <w:t>turer/AC2</w:t>
      </w:r>
      <w:r w:rsidR="00725041" w:rsidRPr="00FF59B0">
        <w:rPr>
          <w:rFonts w:ascii="Arial" w:hAnsi="Arial" w:cs="Arial"/>
        </w:rPr>
        <w:t xml:space="preserve"> </w:t>
      </w:r>
      <w:r w:rsidR="00725041">
        <w:rPr>
          <w:rFonts w:ascii="Arial" w:hAnsi="Arial" w:cs="Arial"/>
        </w:rPr>
        <w:t xml:space="preserve">grade </w:t>
      </w:r>
      <w:r w:rsidR="00725041" w:rsidRPr="00FF59B0">
        <w:rPr>
          <w:rFonts w:ascii="Arial" w:hAnsi="Arial" w:cs="Arial"/>
        </w:rPr>
        <w:t xml:space="preserve">will be dependent upon </w:t>
      </w:r>
      <w:r w:rsidR="00725041">
        <w:rPr>
          <w:rFonts w:ascii="Arial" w:hAnsi="Arial" w:cs="Arial"/>
        </w:rPr>
        <w:t xml:space="preserve">the role to be undertaken and the skills, knowledge and </w:t>
      </w:r>
      <w:r w:rsidR="00725041" w:rsidRPr="00FF59B0">
        <w:rPr>
          <w:rFonts w:ascii="Arial" w:hAnsi="Arial" w:cs="Arial"/>
        </w:rPr>
        <w:t>experience</w:t>
      </w:r>
      <w:r w:rsidR="00725041">
        <w:rPr>
          <w:rFonts w:ascii="Arial" w:hAnsi="Arial" w:cs="Arial"/>
        </w:rPr>
        <w:t xml:space="preserve"> of the successful applicant</w:t>
      </w:r>
      <w:r w:rsidR="00725041" w:rsidRPr="00FF59B0">
        <w:rPr>
          <w:rFonts w:ascii="Arial" w:hAnsi="Arial" w:cs="Arial"/>
        </w:rPr>
        <w:t>.</w:t>
      </w:r>
    </w:p>
    <w:p w14:paraId="3CF62CEA" w14:textId="59A072E4" w:rsidR="005872FE" w:rsidRPr="005872FE" w:rsidRDefault="00725041" w:rsidP="005872FE">
      <w:pPr>
        <w:rPr>
          <w:rFonts w:ascii="Arial" w:hAnsi="Arial" w:cs="Arial"/>
        </w:rPr>
      </w:pPr>
      <w:r>
        <w:rPr>
          <w:rFonts w:ascii="Arial" w:hAnsi="Arial" w:cs="Arial"/>
        </w:rPr>
        <w:t>I</w:t>
      </w:r>
      <w:r w:rsidR="00A457D8">
        <w:rPr>
          <w:rFonts w:ascii="Arial" w:hAnsi="Arial" w:cs="Arial"/>
        </w:rPr>
        <w:t>t is expected</w:t>
      </w:r>
      <w:r w:rsidRPr="00FF59B0">
        <w:rPr>
          <w:rFonts w:ascii="Arial" w:hAnsi="Arial" w:cs="Arial"/>
        </w:rPr>
        <w:t xml:space="preserve"> that the criteria below regarding knowledge and qualifications will be met by the successful candidate.</w:t>
      </w:r>
    </w:p>
    <w:tbl>
      <w:tblPr>
        <w:tblW w:w="875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99"/>
        <w:gridCol w:w="8072"/>
        <w:gridCol w:w="283"/>
      </w:tblGrid>
      <w:tr w:rsidR="005872FE" w:rsidRPr="00420A8F" w14:paraId="2D273160" w14:textId="77777777" w:rsidTr="005872FE">
        <w:tc>
          <w:tcPr>
            <w:tcW w:w="399" w:type="dxa"/>
            <w:tcBorders>
              <w:top w:val="nil"/>
              <w:left w:val="nil"/>
              <w:bottom w:val="single" w:sz="8" w:space="0" w:color="535353"/>
              <w:right w:val="nil"/>
            </w:tcBorders>
            <w:tcMar>
              <w:top w:w="100" w:type="nil"/>
              <w:left w:w="100" w:type="nil"/>
              <w:bottom w:w="100" w:type="nil"/>
              <w:right w:w="100" w:type="nil"/>
            </w:tcMar>
          </w:tcPr>
          <w:p w14:paraId="0607DC2D" w14:textId="663BB9A8" w:rsidR="005872FE" w:rsidRPr="00420A8F" w:rsidRDefault="005872FE" w:rsidP="005872FE">
            <w:pPr>
              <w:widowControl w:val="0"/>
              <w:autoSpaceDE w:val="0"/>
              <w:autoSpaceDN w:val="0"/>
              <w:adjustRightInd w:val="0"/>
              <w:rPr>
                <w:rFonts w:asciiTheme="majorHAnsi" w:hAnsiTheme="majorHAnsi" w:cs="Tahoma"/>
                <w:color w:val="262626"/>
                <w:lang w:val="en-US"/>
              </w:rPr>
            </w:pPr>
            <w:r>
              <w:rPr>
                <w:rFonts w:asciiTheme="majorHAnsi" w:hAnsiTheme="majorHAnsi" w:cs="Tahoma"/>
                <w:color w:val="262626"/>
                <w:lang w:val="en-US"/>
              </w:rPr>
              <w:t xml:space="preserve">   </w:t>
            </w:r>
          </w:p>
          <w:p w14:paraId="76965042" w14:textId="77777777" w:rsidR="005872FE" w:rsidRPr="00420A8F" w:rsidRDefault="005872FE" w:rsidP="008E524F">
            <w:pPr>
              <w:widowControl w:val="0"/>
              <w:autoSpaceDE w:val="0"/>
              <w:autoSpaceDN w:val="0"/>
              <w:adjustRightInd w:val="0"/>
              <w:jc w:val="center"/>
              <w:rPr>
                <w:rFonts w:asciiTheme="majorHAnsi" w:hAnsiTheme="majorHAnsi" w:cs="Tahoma"/>
                <w:color w:val="262626"/>
                <w:lang w:val="en-US"/>
              </w:rPr>
            </w:pPr>
          </w:p>
        </w:tc>
        <w:tc>
          <w:tcPr>
            <w:tcW w:w="8072" w:type="dxa"/>
            <w:tcBorders>
              <w:top w:val="nil"/>
              <w:left w:val="nil"/>
              <w:bottom w:val="single" w:sz="8" w:space="0" w:color="535353"/>
              <w:right w:val="nil"/>
            </w:tcBorders>
            <w:tcMar>
              <w:left w:w="100" w:type="nil"/>
              <w:bottom w:w="100" w:type="nil"/>
            </w:tcMar>
          </w:tcPr>
          <w:p w14:paraId="7F91F0BB" w14:textId="593B0DAB" w:rsidR="005872FE" w:rsidRPr="000D3AFF" w:rsidRDefault="005872FE" w:rsidP="008E524F">
            <w:pPr>
              <w:widowControl w:val="0"/>
              <w:autoSpaceDE w:val="0"/>
              <w:autoSpaceDN w:val="0"/>
              <w:adjustRightInd w:val="0"/>
              <w:rPr>
                <w:rFonts w:ascii="Arial" w:hAnsi="Arial" w:cs="Arial"/>
                <w:color w:val="262626"/>
                <w:lang w:val="en-US"/>
              </w:rPr>
            </w:pPr>
            <w:r w:rsidRPr="00420A8F">
              <w:rPr>
                <w:rFonts w:asciiTheme="majorHAnsi" w:hAnsiTheme="majorHAnsi" w:cs="Tahoma"/>
                <w:color w:val="262626"/>
                <w:lang w:val="en-US"/>
              </w:rPr>
              <w:t xml:space="preserve"> </w:t>
            </w:r>
          </w:p>
          <w:p w14:paraId="1CCD2069" w14:textId="77777777"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lang w:val="en-US"/>
              </w:rPr>
              <w:t>A good (1 or 2:1) degree relevant to a Fashion Design.</w:t>
            </w:r>
          </w:p>
          <w:p w14:paraId="273BAD3B" w14:textId="0AE9BBAA"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lang w:val="en-US"/>
              </w:rPr>
              <w:t>Ideally a postgraduate qualification/PhD or an equivalent level of professional experience.</w:t>
            </w:r>
          </w:p>
          <w:p w14:paraId="43D11EDB" w14:textId="77777777"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lang w:val="en-US"/>
              </w:rPr>
              <w:t>Experience of undergraduate teaching in Higher Education</w:t>
            </w:r>
          </w:p>
          <w:p w14:paraId="47407E28" w14:textId="447401E9"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color w:val="262626"/>
                <w:lang w:val="en-US"/>
              </w:rPr>
              <w:t>Up-to-date sound knowledge of the Fashion industry including current professional/vocational developments</w:t>
            </w:r>
            <w:r w:rsidR="00A27D7C">
              <w:rPr>
                <w:rFonts w:ascii="Arial" w:hAnsi="Arial" w:cs="Arial"/>
                <w:color w:val="262626"/>
                <w:lang w:val="en-US"/>
              </w:rPr>
              <w:t>,</w:t>
            </w:r>
            <w:r w:rsidRPr="000D3AFF">
              <w:rPr>
                <w:rFonts w:ascii="Arial" w:hAnsi="Arial" w:cs="Arial"/>
                <w:color w:val="262626"/>
                <w:lang w:val="en-US"/>
              </w:rPr>
              <w:t xml:space="preserve"> </w:t>
            </w:r>
            <w:r w:rsidR="00A27D7C" w:rsidRPr="00A27D7C">
              <w:rPr>
                <w:rFonts w:ascii="Arial" w:hAnsi="Arial" w:cs="Arial"/>
                <w:lang w:val="en-US"/>
              </w:rPr>
              <w:t>with particular knowledge and experience of industry-based product development processes. Experience using a range of digital solutions and design software packages applied within the fashion industry and a range of generic and subject specialist skills are required</w:t>
            </w:r>
            <w:r w:rsidR="00A27D7C">
              <w:rPr>
                <w:rFonts w:ascii="Arial" w:hAnsi="Arial" w:cs="Arial"/>
                <w:lang w:val="en-US"/>
              </w:rPr>
              <w:t xml:space="preserve">. </w:t>
            </w:r>
          </w:p>
          <w:p w14:paraId="0131CF84" w14:textId="33BAA7FE"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color w:val="262626"/>
                <w:lang w:val="en-US"/>
              </w:rPr>
              <w:t xml:space="preserve">Evidence of innovative teaching methods employed in the subject specific area of </w:t>
            </w:r>
            <w:r w:rsidR="00A27D7C" w:rsidRPr="00A27D7C">
              <w:rPr>
                <w:rFonts w:ascii="Arial" w:hAnsi="Arial" w:cs="Arial"/>
                <w:lang w:val="en-US"/>
              </w:rPr>
              <w:t>fashion design</w:t>
            </w:r>
            <w:r w:rsidR="00A27D7C">
              <w:rPr>
                <w:rFonts w:ascii="Arial" w:hAnsi="Arial" w:cs="Arial"/>
                <w:lang w:val="en-US"/>
              </w:rPr>
              <w:t xml:space="preserve"> and product development, applying digital solutions and specialist software within </w:t>
            </w:r>
            <w:r w:rsidR="00A27D7C" w:rsidRPr="00A27D7C">
              <w:rPr>
                <w:rFonts w:ascii="Arial" w:hAnsi="Arial" w:cs="Arial"/>
                <w:lang w:val="en-US"/>
              </w:rPr>
              <w:t xml:space="preserve">the </w:t>
            </w:r>
            <w:r w:rsidR="00A27D7C">
              <w:rPr>
                <w:rFonts w:ascii="Arial" w:hAnsi="Arial" w:cs="Arial"/>
                <w:lang w:val="en-US"/>
              </w:rPr>
              <w:t xml:space="preserve">design and </w:t>
            </w:r>
            <w:r w:rsidR="00A27D7C" w:rsidRPr="00A27D7C">
              <w:rPr>
                <w:rFonts w:ascii="Arial" w:hAnsi="Arial" w:cs="Arial"/>
                <w:lang w:val="en-US"/>
              </w:rPr>
              <w:t xml:space="preserve">product development process. </w:t>
            </w:r>
          </w:p>
          <w:p w14:paraId="6DEF9115" w14:textId="77777777"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color w:val="262626"/>
                <w:lang w:val="en-US"/>
              </w:rPr>
              <w:t>Clear demonstration of practice-based research skills and knowledge and contribution at an advanced level to research in the subject area.</w:t>
            </w:r>
          </w:p>
          <w:p w14:paraId="3094AAD2" w14:textId="77777777"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color w:val="262626"/>
                <w:lang w:val="en-US"/>
              </w:rPr>
              <w:t>Knowledge and understanding of the concept and practice of research informed teaching and/or the translation of professional/industrial practice into academic engagement.</w:t>
            </w:r>
          </w:p>
          <w:p w14:paraId="4987B3B0" w14:textId="42734563" w:rsidR="005872FE" w:rsidRPr="000D3AFF" w:rsidRDefault="005872FE"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color w:val="262626"/>
                <w:lang w:val="en-US"/>
              </w:rPr>
              <w:t xml:space="preserve">Understanding of academic and award standards and the range and level of knowledge and skills, both subject-specific and generic, that the </w:t>
            </w:r>
            <w:proofErr w:type="spellStart"/>
            <w:r w:rsidRPr="000D3AFF">
              <w:rPr>
                <w:rFonts w:ascii="Arial" w:hAnsi="Arial" w:cs="Arial"/>
                <w:color w:val="262626"/>
                <w:lang w:val="en-US"/>
              </w:rPr>
              <w:t>programme</w:t>
            </w:r>
            <w:proofErr w:type="spellEnd"/>
            <w:r w:rsidRPr="000D3AFF">
              <w:rPr>
                <w:rFonts w:ascii="Arial" w:hAnsi="Arial" w:cs="Arial"/>
                <w:color w:val="262626"/>
                <w:lang w:val="en-US"/>
              </w:rPr>
              <w:t xml:space="preserve"> is intended to foster.</w:t>
            </w:r>
          </w:p>
          <w:p w14:paraId="4E438956" w14:textId="37439223" w:rsidR="0066542F" w:rsidRPr="00A27D7C" w:rsidRDefault="0066542F"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color w:val="262626"/>
                <w:lang w:val="en-US"/>
              </w:rPr>
              <w:t>Competent IT and effective use of IT for teaching, learning and administration</w:t>
            </w:r>
            <w:r w:rsidR="001900CC">
              <w:rPr>
                <w:rFonts w:ascii="Arial" w:hAnsi="Arial" w:cs="Arial"/>
                <w:color w:val="262626"/>
                <w:lang w:val="en-US"/>
              </w:rPr>
              <w:t xml:space="preserve">.  </w:t>
            </w:r>
            <w:r w:rsidR="00A27D7C" w:rsidRPr="00A27D7C">
              <w:rPr>
                <w:rFonts w:ascii="Arial" w:hAnsi="Arial" w:cs="Arial"/>
                <w:color w:val="262626"/>
                <w:lang w:val="en-US"/>
              </w:rPr>
              <w:t xml:space="preserve">Experience of working with a range of relevant design software packages to including the Adobe Creative package is essential. Additional experience using specialist fashion CAD/CAM and Product </w:t>
            </w:r>
            <w:r w:rsidR="00A27D7C" w:rsidRPr="00A27D7C">
              <w:rPr>
                <w:rFonts w:ascii="Arial" w:hAnsi="Arial" w:cs="Arial"/>
                <w:color w:val="262626"/>
                <w:lang w:val="en-US"/>
              </w:rPr>
              <w:lastRenderedPageBreak/>
              <w:t>Lifecycle Management systems is also desirable</w:t>
            </w:r>
            <w:r w:rsidR="001900CC" w:rsidRPr="00A27D7C">
              <w:rPr>
                <w:rFonts w:ascii="Arial" w:hAnsi="Arial" w:cs="Arial"/>
                <w:color w:val="262626"/>
                <w:lang w:val="en-US"/>
              </w:rPr>
              <w:t>.</w:t>
            </w:r>
          </w:p>
          <w:p w14:paraId="0FF8811C" w14:textId="3513CFC9" w:rsidR="0066542F" w:rsidRPr="000D3AFF" w:rsidRDefault="0066542F" w:rsidP="005872FE">
            <w:pPr>
              <w:pStyle w:val="ListParagraph"/>
              <w:widowControl w:val="0"/>
              <w:numPr>
                <w:ilvl w:val="0"/>
                <w:numId w:val="20"/>
              </w:numPr>
              <w:autoSpaceDE w:val="0"/>
              <w:autoSpaceDN w:val="0"/>
              <w:adjustRightInd w:val="0"/>
              <w:rPr>
                <w:rFonts w:ascii="Arial" w:hAnsi="Arial" w:cs="Arial"/>
                <w:color w:val="262626"/>
                <w:lang w:val="en-US"/>
              </w:rPr>
            </w:pPr>
            <w:r w:rsidRPr="000D3AFF">
              <w:rPr>
                <w:rFonts w:ascii="Arial" w:hAnsi="Arial" w:cs="Arial"/>
                <w:color w:val="262626"/>
                <w:lang w:val="en-US"/>
              </w:rPr>
              <w:t>Experience of collaboration with external stakeholders nationally and/or internationally, ideally with students.</w:t>
            </w:r>
          </w:p>
          <w:p w14:paraId="046113F8" w14:textId="77777777" w:rsidR="005872FE" w:rsidRPr="00420A8F" w:rsidRDefault="005872FE" w:rsidP="008E524F">
            <w:pPr>
              <w:widowControl w:val="0"/>
              <w:autoSpaceDE w:val="0"/>
              <w:autoSpaceDN w:val="0"/>
              <w:adjustRightInd w:val="0"/>
              <w:rPr>
                <w:rFonts w:asciiTheme="majorHAnsi" w:hAnsiTheme="majorHAnsi" w:cs="Tahoma"/>
                <w:color w:val="262626"/>
                <w:lang w:val="en-US"/>
              </w:rPr>
            </w:pPr>
          </w:p>
        </w:tc>
        <w:tc>
          <w:tcPr>
            <w:tcW w:w="283" w:type="dxa"/>
            <w:tcBorders>
              <w:top w:val="nil"/>
              <w:left w:val="nil"/>
              <w:bottom w:val="single" w:sz="8" w:space="0" w:color="535353"/>
              <w:right w:val="nil"/>
            </w:tcBorders>
            <w:tcMar>
              <w:top w:w="100" w:type="nil"/>
              <w:left w:w="100" w:type="nil"/>
              <w:bottom w:w="100" w:type="nil"/>
              <w:right w:w="100" w:type="nil"/>
            </w:tcMar>
          </w:tcPr>
          <w:p w14:paraId="1B47D0EF" w14:textId="77777777" w:rsidR="005872FE" w:rsidRPr="00420A8F" w:rsidRDefault="005872FE" w:rsidP="008E524F">
            <w:pPr>
              <w:widowControl w:val="0"/>
              <w:autoSpaceDE w:val="0"/>
              <w:autoSpaceDN w:val="0"/>
              <w:adjustRightInd w:val="0"/>
              <w:ind w:left="567" w:right="636"/>
              <w:rPr>
                <w:rFonts w:asciiTheme="majorHAnsi" w:hAnsiTheme="majorHAnsi" w:cs="Lucida Grande"/>
                <w:color w:val="262626"/>
                <w:lang w:val="en-US"/>
              </w:rPr>
            </w:pPr>
          </w:p>
        </w:tc>
      </w:tr>
    </w:tbl>
    <w:p w14:paraId="3F0D80B2" w14:textId="579C4671" w:rsidR="00725041" w:rsidRDefault="00725041" w:rsidP="005872FE">
      <w:pPr>
        <w:rPr>
          <w:rFonts w:ascii="Arial" w:hAnsi="Arial" w:cs="Arial"/>
        </w:rPr>
      </w:pPr>
    </w:p>
    <w:p w14:paraId="76B972B5" w14:textId="7B3D9B58" w:rsidR="00177727" w:rsidRPr="008016F9" w:rsidRDefault="008016F9" w:rsidP="00F168AA">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5B0D41F" w14:textId="17DF9BCA" w:rsidR="008C4C85" w:rsidRDefault="00CC5376" w:rsidP="00F22221">
      <w:pPr>
        <w:pStyle w:val="ListParagraph"/>
        <w:widowControl w:val="0"/>
        <w:numPr>
          <w:ilvl w:val="0"/>
          <w:numId w:val="8"/>
        </w:numPr>
        <w:tabs>
          <w:tab w:val="left" w:pos="2736"/>
        </w:tabs>
        <w:ind w:hanging="720"/>
        <w:rPr>
          <w:rFonts w:ascii="Arial" w:hAnsi="Arial" w:cs="Arial"/>
        </w:rPr>
      </w:pPr>
      <w:r>
        <w:rPr>
          <w:rFonts w:ascii="Arial" w:hAnsi="Arial" w:cs="Arial"/>
        </w:rPr>
        <w:t>This role is</w:t>
      </w:r>
      <w:r w:rsidR="00153E03">
        <w:rPr>
          <w:rFonts w:ascii="Arial" w:hAnsi="Arial" w:cs="Arial"/>
        </w:rPr>
        <w:t xml:space="preserve"> for a </w:t>
      </w:r>
      <w:r w:rsidR="00153E03" w:rsidRPr="003F3A20">
        <w:rPr>
          <w:rFonts w:ascii="Arial" w:hAnsi="Arial" w:cs="Arial"/>
        </w:rPr>
        <w:t>0.</w:t>
      </w:r>
      <w:r w:rsidR="00A27D7C" w:rsidRPr="003F3A20">
        <w:rPr>
          <w:rFonts w:ascii="Arial" w:hAnsi="Arial" w:cs="Arial"/>
        </w:rPr>
        <w:t xml:space="preserve">2 </w:t>
      </w:r>
      <w:proofErr w:type="spellStart"/>
      <w:r w:rsidR="00DA6F1A" w:rsidRPr="003F3A20">
        <w:rPr>
          <w:rFonts w:ascii="Arial" w:hAnsi="Arial" w:cs="Arial"/>
        </w:rPr>
        <w:t>fte</w:t>
      </w:r>
      <w:proofErr w:type="spellEnd"/>
      <w:r w:rsidR="00DA6F1A" w:rsidRPr="003F3A20">
        <w:rPr>
          <w:rFonts w:ascii="Arial" w:hAnsi="Arial" w:cs="Arial"/>
        </w:rPr>
        <w:t xml:space="preserve"> Lecturer in Fashion Design</w:t>
      </w:r>
      <w:r w:rsidR="003F3A20" w:rsidRPr="003F3A20">
        <w:rPr>
          <w:rFonts w:ascii="Arial" w:hAnsi="Arial" w:cs="Arial"/>
        </w:rPr>
        <w:t xml:space="preserve"> (digital)</w:t>
      </w:r>
      <w:r w:rsidR="00DA6F1A">
        <w:rPr>
          <w:rFonts w:ascii="Arial" w:hAnsi="Arial" w:cs="Arial"/>
        </w:rPr>
        <w:t xml:space="preserve"> working within a</w:t>
      </w:r>
      <w:r w:rsidR="00A27D7C">
        <w:rPr>
          <w:rFonts w:ascii="Arial" w:hAnsi="Arial" w:cs="Arial"/>
        </w:rPr>
        <w:t>n experienced</w:t>
      </w:r>
      <w:r w:rsidR="00DA6F1A">
        <w:rPr>
          <w:rFonts w:ascii="Arial" w:hAnsi="Arial" w:cs="Arial"/>
        </w:rPr>
        <w:t xml:space="preserve"> team of </w:t>
      </w:r>
      <w:r>
        <w:rPr>
          <w:rFonts w:ascii="Arial" w:hAnsi="Arial" w:cs="Arial"/>
        </w:rPr>
        <w:t xml:space="preserve">academic and technical </w:t>
      </w:r>
      <w:r w:rsidR="00DA6F1A">
        <w:rPr>
          <w:rFonts w:ascii="Arial" w:hAnsi="Arial" w:cs="Arial"/>
        </w:rPr>
        <w:t>staff delivering the BA(Hons) Fashion with Business Studies degree.  The role inv</w:t>
      </w:r>
      <w:r>
        <w:rPr>
          <w:rFonts w:ascii="Arial" w:hAnsi="Arial" w:cs="Arial"/>
        </w:rPr>
        <w:t>olves contribution to the management and development of the course across all levels, including</w:t>
      </w:r>
      <w:r w:rsidR="00D57219">
        <w:rPr>
          <w:rFonts w:ascii="Arial" w:hAnsi="Arial" w:cs="Arial"/>
        </w:rPr>
        <w:t xml:space="preserve"> preparation</w:t>
      </w:r>
      <w:r>
        <w:rPr>
          <w:rFonts w:ascii="Arial" w:hAnsi="Arial" w:cs="Arial"/>
        </w:rPr>
        <w:t xml:space="preserve"> of projects</w:t>
      </w:r>
      <w:r w:rsidR="00D57219">
        <w:rPr>
          <w:rFonts w:ascii="Arial" w:hAnsi="Arial" w:cs="Arial"/>
        </w:rPr>
        <w:t xml:space="preserve"> and learning materials</w:t>
      </w:r>
      <w:r>
        <w:rPr>
          <w:rFonts w:ascii="Arial" w:hAnsi="Arial" w:cs="Arial"/>
        </w:rPr>
        <w:t xml:space="preserve"> and the coordination and delegation of teaching and learning activities.  It requires an extensive kn</w:t>
      </w:r>
      <w:r w:rsidR="00781D30">
        <w:rPr>
          <w:rFonts w:ascii="Arial" w:hAnsi="Arial" w:cs="Arial"/>
        </w:rPr>
        <w:t>owledge of professional fashion</w:t>
      </w:r>
      <w:r>
        <w:rPr>
          <w:rFonts w:ascii="Arial" w:hAnsi="Arial" w:cs="Arial"/>
        </w:rPr>
        <w:t xml:space="preserve"> design and product development processes including </w:t>
      </w:r>
      <w:r w:rsidR="003F3A20">
        <w:rPr>
          <w:rFonts w:ascii="Arial" w:hAnsi="Arial" w:cs="Arial"/>
          <w:lang w:val="en-US"/>
        </w:rPr>
        <w:t>e</w:t>
      </w:r>
      <w:r w:rsidR="003F3A20" w:rsidRPr="00A27D7C">
        <w:rPr>
          <w:rFonts w:ascii="Arial" w:hAnsi="Arial" w:cs="Arial"/>
          <w:lang w:val="en-US"/>
        </w:rPr>
        <w:t>xperience using a range of digital solutions and design software packages appli</w:t>
      </w:r>
      <w:r w:rsidR="003F3A20">
        <w:rPr>
          <w:rFonts w:ascii="Arial" w:hAnsi="Arial" w:cs="Arial"/>
          <w:lang w:val="en-US"/>
        </w:rPr>
        <w:t>cable to</w:t>
      </w:r>
      <w:r w:rsidR="003F3A20" w:rsidRPr="00A27D7C">
        <w:rPr>
          <w:rFonts w:ascii="Arial" w:hAnsi="Arial" w:cs="Arial"/>
          <w:lang w:val="en-US"/>
        </w:rPr>
        <w:t xml:space="preserve"> the fashion </w:t>
      </w:r>
      <w:r w:rsidR="003F3A20">
        <w:rPr>
          <w:rFonts w:ascii="Arial" w:hAnsi="Arial" w:cs="Arial"/>
          <w:lang w:val="en-US"/>
        </w:rPr>
        <w:t>design and product development process</w:t>
      </w:r>
      <w:r>
        <w:rPr>
          <w:rFonts w:ascii="Arial" w:hAnsi="Arial" w:cs="Arial"/>
        </w:rPr>
        <w:t xml:space="preserve"> and the ability to support students’ creative development</w:t>
      </w:r>
      <w:r w:rsidR="004E5AD5">
        <w:rPr>
          <w:rFonts w:ascii="Arial" w:hAnsi="Arial" w:cs="Arial"/>
        </w:rPr>
        <w:t xml:space="preserve"> </w:t>
      </w:r>
      <w:r w:rsidR="00EC465E">
        <w:rPr>
          <w:rFonts w:ascii="Arial" w:hAnsi="Arial" w:cs="Arial"/>
        </w:rPr>
        <w:t>in both Womenswear and Menswear</w:t>
      </w:r>
      <w:r w:rsidR="003F3A20">
        <w:rPr>
          <w:rFonts w:ascii="Arial" w:hAnsi="Arial" w:cs="Arial"/>
        </w:rPr>
        <w:t>,</w:t>
      </w:r>
      <w:r w:rsidR="00EC465E">
        <w:rPr>
          <w:rFonts w:ascii="Arial" w:hAnsi="Arial" w:cs="Arial"/>
        </w:rPr>
        <w:t xml:space="preserve"> </w:t>
      </w:r>
      <w:r>
        <w:rPr>
          <w:rFonts w:ascii="Arial" w:hAnsi="Arial" w:cs="Arial"/>
        </w:rPr>
        <w:t xml:space="preserve">with an </w:t>
      </w:r>
      <w:proofErr w:type="gramStart"/>
      <w:r>
        <w:rPr>
          <w:rFonts w:ascii="Arial" w:hAnsi="Arial" w:cs="Arial"/>
        </w:rPr>
        <w:t>in depth</w:t>
      </w:r>
      <w:proofErr w:type="gramEnd"/>
      <w:r>
        <w:rPr>
          <w:rFonts w:ascii="Arial" w:hAnsi="Arial" w:cs="Arial"/>
        </w:rPr>
        <w:t xml:space="preserve"> awareness of contemporary design.</w:t>
      </w:r>
    </w:p>
    <w:p w14:paraId="5DA76474" w14:textId="01DA2F1B" w:rsidR="00E63F90" w:rsidRPr="008943FE" w:rsidRDefault="00EC465E" w:rsidP="00F22221">
      <w:pPr>
        <w:pStyle w:val="ListParagraph"/>
        <w:widowControl w:val="0"/>
        <w:numPr>
          <w:ilvl w:val="0"/>
          <w:numId w:val="8"/>
        </w:numPr>
        <w:tabs>
          <w:tab w:val="left" w:pos="2736"/>
        </w:tabs>
        <w:ind w:hanging="720"/>
        <w:rPr>
          <w:rFonts w:ascii="Arial" w:hAnsi="Arial" w:cs="Arial"/>
        </w:rPr>
      </w:pPr>
      <w:r w:rsidRPr="008943FE">
        <w:rPr>
          <w:rFonts w:ascii="Arial" w:hAnsi="Arial" w:cs="Arial"/>
        </w:rPr>
        <w:t xml:space="preserve">The appointment is </w:t>
      </w:r>
      <w:r w:rsidR="00A27D7C" w:rsidRPr="008943FE">
        <w:rPr>
          <w:rFonts w:ascii="Arial" w:hAnsi="Arial" w:cs="Arial"/>
        </w:rPr>
        <w:t>being made on a permanent</w:t>
      </w:r>
      <w:r w:rsidR="00343D77" w:rsidRPr="008943FE">
        <w:rPr>
          <w:rFonts w:ascii="Arial" w:hAnsi="Arial" w:cs="Arial"/>
        </w:rPr>
        <w:t xml:space="preserve"> </w:t>
      </w:r>
      <w:r w:rsidR="00A27D7C" w:rsidRPr="008943FE">
        <w:rPr>
          <w:rFonts w:ascii="Arial" w:hAnsi="Arial" w:cs="Arial"/>
        </w:rPr>
        <w:t>basis, subject to a probationary period.</w:t>
      </w:r>
    </w:p>
    <w:p w14:paraId="2C4E67EB" w14:textId="0B3C02FA"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307BC116" w14:textId="4597DA86"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06408732" w14:textId="771382FE" w:rsidR="0035277F" w:rsidRPr="00E63F90" w:rsidRDefault="00177727" w:rsidP="00F22221">
      <w:pPr>
        <w:pStyle w:val="ListParagraph"/>
        <w:widowControl w:val="0"/>
        <w:numPr>
          <w:ilvl w:val="0"/>
          <w:numId w:val="8"/>
        </w:numPr>
        <w:ind w:hanging="720"/>
        <w:rPr>
          <w:rFonts w:ascii="Arial" w:hAnsi="Arial" w:cs="Arial"/>
        </w:rPr>
      </w:pPr>
      <w:r w:rsidRPr="00EC465E">
        <w:rPr>
          <w:rFonts w:ascii="Arial" w:hAnsi="Arial" w:cs="Arial"/>
          <w:color w:val="000000" w:themeColor="text1"/>
        </w:rPr>
        <w:t xml:space="preserve">Hours </w:t>
      </w:r>
      <w:r w:rsidR="00EC465E" w:rsidRPr="00EC465E">
        <w:rPr>
          <w:rFonts w:ascii="Arial" w:hAnsi="Arial" w:cs="Arial"/>
          <w:color w:val="000000" w:themeColor="text1"/>
        </w:rPr>
        <w:t>-</w:t>
      </w:r>
      <w:r w:rsidR="0035277F" w:rsidRPr="00EC465E">
        <w:rPr>
          <w:rFonts w:ascii="Arial" w:hAnsi="Arial" w:cs="Arial"/>
          <w:color w:val="000000" w:themeColor="text1"/>
        </w:rPr>
        <w:t xml:space="preserve"> The full time equivalent of this post is </w:t>
      </w:r>
      <w:r w:rsidR="00EC465E" w:rsidRPr="00EC465E">
        <w:rPr>
          <w:rFonts w:ascii="Arial" w:hAnsi="Arial" w:cs="Arial"/>
          <w:color w:val="000000" w:themeColor="text1"/>
        </w:rPr>
        <w:t>0.</w:t>
      </w:r>
      <w:r w:rsidR="008943FE">
        <w:rPr>
          <w:rFonts w:ascii="Arial" w:hAnsi="Arial" w:cs="Arial"/>
          <w:color w:val="000000" w:themeColor="text1"/>
        </w:rPr>
        <w:t>2</w:t>
      </w:r>
      <w:r w:rsidR="00EC465E" w:rsidRPr="00EC465E">
        <w:rPr>
          <w:rFonts w:ascii="Arial" w:hAnsi="Arial" w:cs="Arial"/>
          <w:color w:val="000000" w:themeColor="text1"/>
        </w:rPr>
        <w:t>fte.</w:t>
      </w:r>
      <w:r w:rsidR="0035277F" w:rsidRPr="00EC465E">
        <w:rPr>
          <w:rFonts w:ascii="Arial" w:hAnsi="Arial" w:cs="Arial"/>
          <w:color w:val="000000" w:themeColor="text1"/>
        </w:rPr>
        <w:t xml:space="preserve"> </w:t>
      </w:r>
      <w:r w:rsidR="0035277F" w:rsidRPr="00E63F90">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FEAFC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1DA95F6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5BD8F3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542B1B0C" w14:textId="77777777" w:rsidR="0035277F" w:rsidRDefault="0035277F" w:rsidP="00F22221">
      <w:pPr>
        <w:pStyle w:val="ListParagraph"/>
        <w:widowControl w:val="0"/>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w:t>
      </w:r>
      <w:r w:rsidRPr="0035277F">
        <w:rPr>
          <w:rFonts w:ascii="Arial" w:hAnsi="Arial" w:cs="Arial"/>
        </w:rPr>
        <w:lastRenderedPageBreak/>
        <w:t>agreed overtime.</w:t>
      </w:r>
    </w:p>
    <w:p w14:paraId="6BD7C688" w14:textId="77777777" w:rsidR="002F2D9A" w:rsidRDefault="002F2D9A" w:rsidP="00F22221">
      <w:pPr>
        <w:pStyle w:val="ListParagraph"/>
        <w:spacing w:after="0"/>
        <w:ind w:left="360"/>
        <w:rPr>
          <w:rFonts w:ascii="Arial" w:hAnsi="Arial" w:cs="Arial"/>
        </w:rPr>
      </w:pPr>
    </w:p>
    <w:p w14:paraId="53C5658C" w14:textId="6E1F7EE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F168AA">
      <w:pPr>
        <w:spacing w:after="0"/>
        <w:ind w:firstLine="360"/>
        <w:rPr>
          <w:rFonts w:ascii="Arial" w:hAnsi="Arial" w:cs="Arial"/>
        </w:rPr>
      </w:pPr>
    </w:p>
    <w:p w14:paraId="2F8B6103" w14:textId="77777777" w:rsidR="004A3655" w:rsidRPr="004A3655" w:rsidRDefault="00F85663" w:rsidP="00F168AA">
      <w:pPr>
        <w:pStyle w:val="ListParagraph"/>
        <w:numPr>
          <w:ilvl w:val="0"/>
          <w:numId w:val="19"/>
        </w:numPr>
        <w:spacing w:after="0"/>
        <w:rPr>
          <w:rFonts w:ascii="Arial" w:hAnsi="Arial" w:cs="Arial"/>
          <w:color w:val="0000FF"/>
          <w:u w:val="single"/>
        </w:rPr>
      </w:pPr>
      <w:hyperlink r:id="rId15"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2C6D656A" w14:textId="11157853" w:rsidR="00F168AA" w:rsidRPr="004A3655" w:rsidRDefault="00F85663" w:rsidP="00F168AA">
      <w:pPr>
        <w:pStyle w:val="ListParagraph"/>
        <w:numPr>
          <w:ilvl w:val="0"/>
          <w:numId w:val="19"/>
        </w:numPr>
        <w:spacing w:after="0"/>
        <w:rPr>
          <w:rFonts w:ascii="Arial" w:hAnsi="Arial" w:cs="Arial"/>
          <w:color w:val="0000FF"/>
          <w:u w:val="single"/>
        </w:rPr>
      </w:pPr>
      <w:hyperlink r:id="rId16"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626DDD2F" w14:textId="47245162" w:rsidR="008C4C85" w:rsidRDefault="00F85663" w:rsidP="008C4C85">
      <w:pPr>
        <w:pStyle w:val="ListParagraph"/>
        <w:numPr>
          <w:ilvl w:val="0"/>
          <w:numId w:val="19"/>
        </w:numPr>
        <w:spacing w:after="0"/>
        <w:rPr>
          <w:rFonts w:ascii="Arial" w:hAnsi="Arial" w:cs="Arial"/>
          <w:color w:val="0000FF"/>
          <w:u w:val="single"/>
        </w:rPr>
      </w:pPr>
      <w:hyperlink r:id="rId17" w:history="1">
        <w:r w:rsidR="008C4C85">
          <w:rPr>
            <w:rStyle w:val="Hyperlink"/>
            <w:rFonts w:ascii="Arial" w:hAnsi="Arial" w:cs="Arial"/>
          </w:rPr>
          <w:t>Professional services departments</w:t>
        </w:r>
      </w:hyperlink>
    </w:p>
    <w:p w14:paraId="6D553E52" w14:textId="5752FC95"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8" w:history="1">
        <w:r w:rsidRPr="0045301D">
          <w:rPr>
            <w:rStyle w:val="Hyperlink"/>
            <w:rFonts w:ascii="Arial" w:hAnsi="Arial" w:cs="Arial"/>
          </w:rPr>
          <w:t>2016 - 2021 Strategy</w:t>
        </w:r>
      </w:hyperlink>
      <w:r w:rsidRPr="000D48AF">
        <w:rPr>
          <w:rFonts w:ascii="Arial" w:hAnsi="Arial" w:cs="Arial"/>
        </w:rPr>
        <w:t xml:space="preserve"> </w:t>
      </w:r>
    </w:p>
    <w:p w14:paraId="10EC086E" w14:textId="77777777" w:rsidR="00100224" w:rsidRDefault="00100224" w:rsidP="00F168AA">
      <w:pPr>
        <w:spacing w:after="0"/>
      </w:pPr>
    </w:p>
    <w:p w14:paraId="495C3BAD" w14:textId="11357949"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19"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0"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1" w:history="1">
        <w:r w:rsidR="004A3655" w:rsidRPr="004A3655">
          <w:rPr>
            <w:rStyle w:val="Hyperlink"/>
            <w:rFonts w:ascii="Arial" w:hAnsi="Arial" w:cs="Arial"/>
          </w:rPr>
          <w:t>Benefits and facilities</w:t>
        </w:r>
      </w:hyperlink>
      <w:r w:rsidR="004A3655" w:rsidRPr="004A3655">
        <w:rPr>
          <w:rFonts w:ascii="Arial" w:hAnsi="Arial" w:cs="Arial"/>
        </w:rPr>
        <w:t>.</w:t>
      </w:r>
    </w:p>
    <w:p w14:paraId="4CE0064F" w14:textId="77777777" w:rsidR="00CC2103" w:rsidRDefault="00CC2103" w:rsidP="00CC2103">
      <w:pPr>
        <w:widowControl w:val="0"/>
        <w:tabs>
          <w:tab w:val="left" w:pos="2736"/>
        </w:tabs>
        <w:spacing w:after="0"/>
        <w:ind w:left="2194" w:hanging="2194"/>
      </w:pPr>
    </w:p>
    <w:p w14:paraId="500D685B" w14:textId="43FEE7BE" w:rsidR="009E7858" w:rsidRDefault="009E7858" w:rsidP="00507024">
      <w:pPr>
        <w:widowControl w:val="0"/>
        <w:spacing w:after="0"/>
        <w:rPr>
          <w:rFonts w:ascii="Arial" w:hAnsi="Arial" w:cs="Arial"/>
          <w:highlight w:val="cyan"/>
        </w:rPr>
      </w:pPr>
      <w:bookmarkStart w:id="0" w:name="_GoBack"/>
      <w:bookmarkEnd w:id="0"/>
    </w:p>
    <w:p w14:paraId="7C070690" w14:textId="77777777"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6D66968C" w14:textId="0AA4153B" w:rsidR="00CC2103" w:rsidRDefault="00CC2103" w:rsidP="00CC2103">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2" w:history="1">
        <w:r w:rsidRPr="004A3655">
          <w:rPr>
            <w:rStyle w:val="Hyperlink"/>
            <w:rFonts w:ascii="Arial" w:hAnsi="Arial" w:cs="Arial"/>
          </w:rPr>
          <w:t>Benefits and facilities</w:t>
        </w:r>
      </w:hyperlink>
      <w:r>
        <w:rPr>
          <w:rFonts w:ascii="Arial" w:hAnsi="Arial" w:cs="Arial"/>
        </w:rPr>
        <w:t>.</w:t>
      </w:r>
    </w:p>
    <w:p w14:paraId="7446B5F3" w14:textId="0BCE424C"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5CC5B5EA" w14:textId="20C6BC6B"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14:paraId="27E0B178"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37B67B14" w14:textId="7777777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6B089E0B" w14:textId="3B4B6E18"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02BA2C8A" w14:textId="77777777" w:rsidR="00EB0C90" w:rsidRPr="00EB0C90" w:rsidRDefault="00EB0C90" w:rsidP="00F168AA">
      <w:pPr>
        <w:widowControl w:val="0"/>
        <w:spacing w:after="0" w:line="240" w:lineRule="atLeast"/>
        <w:rPr>
          <w:rFonts w:ascii="Arial" w:hAnsi="Arial" w:cs="Arial"/>
        </w:rPr>
      </w:pPr>
    </w:p>
    <w:p w14:paraId="63020308" w14:textId="783D894D"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F168AA">
      <w:pPr>
        <w:widowControl w:val="0"/>
        <w:spacing w:after="0" w:line="240" w:lineRule="atLeast"/>
        <w:ind w:left="426"/>
        <w:rPr>
          <w:rFonts w:ascii="Arial" w:hAnsi="Arial" w:cs="Arial"/>
        </w:rPr>
      </w:pPr>
    </w:p>
    <w:p w14:paraId="5F3B2BC3" w14:textId="754758F4"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F168AA">
      <w:pPr>
        <w:widowControl w:val="0"/>
        <w:spacing w:after="0" w:line="240" w:lineRule="atLeast"/>
        <w:ind w:left="426"/>
        <w:rPr>
          <w:rFonts w:ascii="Arial" w:hAnsi="Arial" w:cs="Arial"/>
        </w:rPr>
      </w:pPr>
    </w:p>
    <w:p w14:paraId="7C0ABA38" w14:textId="332B7990" w:rsidR="0035277F" w:rsidRDefault="0035277F" w:rsidP="00F168AA">
      <w:pPr>
        <w:widowControl w:val="0"/>
        <w:spacing w:after="0" w:line="240" w:lineRule="atLeast"/>
        <w:rPr>
          <w:rFonts w:ascii="Arial" w:hAnsi="Arial" w:cs="Arial"/>
        </w:rPr>
      </w:pPr>
      <w:r w:rsidRPr="004A1203">
        <w:rPr>
          <w:rFonts w:ascii="Arial" w:hAnsi="Arial" w:cs="Arial"/>
        </w:rPr>
        <w:t xml:space="preserve">In addition to these courses for staff new to the teaching role, the Centre for Learning and </w:t>
      </w:r>
      <w:r w:rsidRPr="004A1203">
        <w:rPr>
          <w:rFonts w:ascii="Arial" w:hAnsi="Arial" w:cs="Arial"/>
        </w:rPr>
        <w:lastRenderedPageBreak/>
        <w:t>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3" w:history="1">
        <w:r w:rsidR="00F22221">
          <w:rPr>
            <w:rStyle w:val="Hyperlink"/>
            <w:rFonts w:ascii="Arial" w:hAnsi="Arial" w:cs="Arial"/>
          </w:rPr>
          <w:t>Centre for Learning and Teaching</w:t>
        </w:r>
      </w:hyperlink>
      <w:r w:rsidR="00F22221">
        <w:rPr>
          <w:rFonts w:ascii="Arial" w:hAnsi="Arial" w:cs="Arial"/>
        </w:rPr>
        <w:t xml:space="preserve">. </w:t>
      </w:r>
    </w:p>
    <w:p w14:paraId="38D15AE9" w14:textId="77777777" w:rsidR="006D67FD" w:rsidRDefault="006D67FD" w:rsidP="00F168AA">
      <w:pPr>
        <w:widowControl w:val="0"/>
        <w:spacing w:after="0" w:line="240" w:lineRule="atLeast"/>
        <w:rPr>
          <w:rFonts w:ascii="Arial" w:hAnsi="Arial" w:cs="Arial"/>
        </w:rPr>
      </w:pPr>
    </w:p>
    <w:p w14:paraId="25241349" w14:textId="0DCE5814" w:rsidR="00CC2103" w:rsidRDefault="00CC2103" w:rsidP="00F168AA">
      <w:pPr>
        <w:widowControl w:val="0"/>
        <w:spacing w:after="0" w:line="240" w:lineRule="atLeast"/>
        <w:rPr>
          <w:rFonts w:ascii="Arial" w:hAnsi="Arial" w:cs="Arial"/>
        </w:rPr>
      </w:pPr>
    </w:p>
    <w:p w14:paraId="74E19998" w14:textId="77777777" w:rsidR="00CC2103" w:rsidRDefault="00CC2103" w:rsidP="00F168AA">
      <w:pPr>
        <w:widowControl w:val="0"/>
        <w:spacing w:after="0" w:line="240" w:lineRule="atLeast"/>
        <w:rPr>
          <w:rFonts w:ascii="Arial" w:hAnsi="Arial" w:cs="Arial"/>
        </w:rPr>
      </w:pPr>
    </w:p>
    <w:p w14:paraId="40F627A2" w14:textId="38A93265" w:rsidR="00CC2103" w:rsidRPr="006D67FD" w:rsidRDefault="00EC465E" w:rsidP="00F168AA">
      <w:pPr>
        <w:widowControl w:val="0"/>
        <w:spacing w:after="0" w:line="240" w:lineRule="atLeast"/>
        <w:rPr>
          <w:rFonts w:ascii="Arial" w:hAnsi="Arial" w:cs="Arial"/>
        </w:rPr>
      </w:pPr>
      <w:r>
        <w:rPr>
          <w:rFonts w:ascii="Arial" w:hAnsi="Arial" w:cs="Arial"/>
        </w:rPr>
        <w:t>Date:  April 2018</w:t>
      </w:r>
    </w:p>
    <w:sectPr w:rsidR="00CC2103" w:rsidRPr="006D67F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C2A7" w14:textId="77777777" w:rsidR="00F85663" w:rsidRDefault="00F85663" w:rsidP="000742F4">
      <w:pPr>
        <w:spacing w:after="0" w:line="240" w:lineRule="auto"/>
      </w:pPr>
      <w:r>
        <w:separator/>
      </w:r>
    </w:p>
  </w:endnote>
  <w:endnote w:type="continuationSeparator" w:id="0">
    <w:p w14:paraId="2E0DEF61" w14:textId="77777777" w:rsidR="00F85663" w:rsidRDefault="00F85663"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521B" w14:textId="77777777" w:rsidR="00F85663" w:rsidRDefault="00F85663" w:rsidP="000742F4">
      <w:pPr>
        <w:spacing w:after="0" w:line="240" w:lineRule="auto"/>
      </w:pPr>
      <w:r>
        <w:separator/>
      </w:r>
    </w:p>
  </w:footnote>
  <w:footnote w:type="continuationSeparator" w:id="0">
    <w:p w14:paraId="065FD513" w14:textId="77777777" w:rsidR="00F85663" w:rsidRDefault="00F85663"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4E5AD5" w:rsidRDefault="004E5AD5">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019D"/>
    <w:multiLevelType w:val="hybridMultilevel"/>
    <w:tmpl w:val="2D48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5"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16"/>
  </w:num>
  <w:num w:numId="5">
    <w:abstractNumId w:val="10"/>
  </w:num>
  <w:num w:numId="6">
    <w:abstractNumId w:val="4"/>
  </w:num>
  <w:num w:numId="7">
    <w:abstractNumId w:val="6"/>
  </w:num>
  <w:num w:numId="8">
    <w:abstractNumId w:val="5"/>
  </w:num>
  <w:num w:numId="9">
    <w:abstractNumId w:val="12"/>
  </w:num>
  <w:num w:numId="10">
    <w:abstractNumId w:val="1"/>
  </w:num>
  <w:num w:numId="11">
    <w:abstractNumId w:val="3"/>
  </w:num>
  <w:num w:numId="12">
    <w:abstractNumId w:val="8"/>
  </w:num>
  <w:num w:numId="13">
    <w:abstractNumId w:val="13"/>
  </w:num>
  <w:num w:numId="14">
    <w:abstractNumId w:val="19"/>
  </w:num>
  <w:num w:numId="15">
    <w:abstractNumId w:val="7"/>
  </w:num>
  <w:num w:numId="16">
    <w:abstractNumId w:val="14"/>
  </w:num>
  <w:num w:numId="17">
    <w:abstractNumId w:val="9"/>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71"/>
    <w:rsid w:val="00006C32"/>
    <w:rsid w:val="0004514C"/>
    <w:rsid w:val="0004743D"/>
    <w:rsid w:val="000742F4"/>
    <w:rsid w:val="000B4DA3"/>
    <w:rsid w:val="000D3AFF"/>
    <w:rsid w:val="000D48AF"/>
    <w:rsid w:val="000E12F1"/>
    <w:rsid w:val="00100224"/>
    <w:rsid w:val="0013220B"/>
    <w:rsid w:val="001456D0"/>
    <w:rsid w:val="00153E03"/>
    <w:rsid w:val="001769C2"/>
    <w:rsid w:val="00177727"/>
    <w:rsid w:val="001841AB"/>
    <w:rsid w:val="001900CC"/>
    <w:rsid w:val="00191517"/>
    <w:rsid w:val="00193092"/>
    <w:rsid w:val="002409F7"/>
    <w:rsid w:val="00294AEA"/>
    <w:rsid w:val="00294B38"/>
    <w:rsid w:val="00296293"/>
    <w:rsid w:val="002E53B0"/>
    <w:rsid w:val="002E5D71"/>
    <w:rsid w:val="002F2D9A"/>
    <w:rsid w:val="0030586C"/>
    <w:rsid w:val="00343D77"/>
    <w:rsid w:val="00350424"/>
    <w:rsid w:val="0035277F"/>
    <w:rsid w:val="003530C9"/>
    <w:rsid w:val="003648EB"/>
    <w:rsid w:val="003A6FCD"/>
    <w:rsid w:val="003B1D54"/>
    <w:rsid w:val="003C4D42"/>
    <w:rsid w:val="003D0706"/>
    <w:rsid w:val="003D2A5E"/>
    <w:rsid w:val="003E1BDE"/>
    <w:rsid w:val="003F08D0"/>
    <w:rsid w:val="003F3A20"/>
    <w:rsid w:val="0045301D"/>
    <w:rsid w:val="004A1203"/>
    <w:rsid w:val="004A3655"/>
    <w:rsid w:val="004C702A"/>
    <w:rsid w:val="004E5AD5"/>
    <w:rsid w:val="00507024"/>
    <w:rsid w:val="0054409E"/>
    <w:rsid w:val="00546618"/>
    <w:rsid w:val="005872FE"/>
    <w:rsid w:val="005A2304"/>
    <w:rsid w:val="005A27CE"/>
    <w:rsid w:val="005C1C9E"/>
    <w:rsid w:val="005C40B4"/>
    <w:rsid w:val="005F7418"/>
    <w:rsid w:val="00623C07"/>
    <w:rsid w:val="006372DE"/>
    <w:rsid w:val="00664507"/>
    <w:rsid w:val="0066542F"/>
    <w:rsid w:val="006A565C"/>
    <w:rsid w:val="006B168C"/>
    <w:rsid w:val="006C19B1"/>
    <w:rsid w:val="006D67FD"/>
    <w:rsid w:val="006E143D"/>
    <w:rsid w:val="006F7241"/>
    <w:rsid w:val="00707C7F"/>
    <w:rsid w:val="00725041"/>
    <w:rsid w:val="00733293"/>
    <w:rsid w:val="007370F5"/>
    <w:rsid w:val="00746DA0"/>
    <w:rsid w:val="00781D30"/>
    <w:rsid w:val="007C3EDA"/>
    <w:rsid w:val="008016F9"/>
    <w:rsid w:val="008433D8"/>
    <w:rsid w:val="008758F8"/>
    <w:rsid w:val="00877062"/>
    <w:rsid w:val="008943FE"/>
    <w:rsid w:val="008C4C85"/>
    <w:rsid w:val="008F25E6"/>
    <w:rsid w:val="00910B42"/>
    <w:rsid w:val="00922E48"/>
    <w:rsid w:val="00951603"/>
    <w:rsid w:val="009D70D5"/>
    <w:rsid w:val="009E4305"/>
    <w:rsid w:val="009E7858"/>
    <w:rsid w:val="00A16D2A"/>
    <w:rsid w:val="00A27D7C"/>
    <w:rsid w:val="00A457D8"/>
    <w:rsid w:val="00A6540A"/>
    <w:rsid w:val="00A744F9"/>
    <w:rsid w:val="00A87122"/>
    <w:rsid w:val="00A90952"/>
    <w:rsid w:val="00A965A8"/>
    <w:rsid w:val="00AA64B7"/>
    <w:rsid w:val="00AB523C"/>
    <w:rsid w:val="00AC0802"/>
    <w:rsid w:val="00AF0D3F"/>
    <w:rsid w:val="00B110A8"/>
    <w:rsid w:val="00B30E4E"/>
    <w:rsid w:val="00B3296D"/>
    <w:rsid w:val="00C04725"/>
    <w:rsid w:val="00C2109F"/>
    <w:rsid w:val="00C53FCA"/>
    <w:rsid w:val="00C82F11"/>
    <w:rsid w:val="00CA1FF7"/>
    <w:rsid w:val="00CA56D7"/>
    <w:rsid w:val="00CA6B22"/>
    <w:rsid w:val="00CC2103"/>
    <w:rsid w:val="00CC5376"/>
    <w:rsid w:val="00CE15D8"/>
    <w:rsid w:val="00D400C4"/>
    <w:rsid w:val="00D57219"/>
    <w:rsid w:val="00D8631A"/>
    <w:rsid w:val="00DA6F1A"/>
    <w:rsid w:val="00DB5F14"/>
    <w:rsid w:val="00E16E1D"/>
    <w:rsid w:val="00E22E98"/>
    <w:rsid w:val="00E63F90"/>
    <w:rsid w:val="00E73CF9"/>
    <w:rsid w:val="00E828D4"/>
    <w:rsid w:val="00E94B48"/>
    <w:rsid w:val="00EB0C90"/>
    <w:rsid w:val="00EB4565"/>
    <w:rsid w:val="00EC465E"/>
    <w:rsid w:val="00EC6878"/>
    <w:rsid w:val="00EF164E"/>
    <w:rsid w:val="00F01AA5"/>
    <w:rsid w:val="00F16465"/>
    <w:rsid w:val="00F168AA"/>
    <w:rsid w:val="00F22221"/>
    <w:rsid w:val="00F24227"/>
    <w:rsid w:val="00F2755E"/>
    <w:rsid w:val="00F477BE"/>
    <w:rsid w:val="00F85663"/>
    <w:rsid w:val="00FA1C70"/>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practical-wisdom/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contact-us/professional-services-departments/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research-and-enterprise/research/index.aspx" TargetMode="External"/><Relationship Id="rId20" Type="http://schemas.openxmlformats.org/officeDocument/2006/relationships/hyperlink" Target="https://www.brighton.ac.uk/about-us/working-with-us/jobs/equality-diversity-and-inclus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brighton.ac.uk/about-us/contact-us/academic-departments/index.aspx" TargetMode="External"/><Relationship Id="rId23" Type="http://schemas.openxmlformats.org/officeDocument/2006/relationships/hyperlink" Target="https://staff.brighton.ac.uk/clt/Pages/CLT-home.aspx" TargetMode="External"/><Relationship Id="rId10" Type="http://schemas.openxmlformats.org/officeDocument/2006/relationships/footnotes" Target="footnotes.xml"/><Relationship Id="rId19" Type="http://schemas.openxmlformats.org/officeDocument/2006/relationships/hyperlink" Target="https://www.brighton.ac.uk/about-us/working-with-us/jobs/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documentManagement>
</p:properties>
</file>

<file path=customXml/item2.xml><?xml version="1.0" encoding="utf-8"?>
<?mso-contentType ?>
<SharedContentType xmlns="Microsoft.SharePoint.Taxonomy.ContentTypeSync" SourceId="e3fab070-f8e4-426a-ae3e-e50b52769b74" ContentTypeId="0x0101009EEBF4EEA106574CBB2CBD1021D2AA3706" PreviousValue="false"/>
</file>

<file path=customXml/item3.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AB16C9136A1C9846A04E8EDF3B9E188B" ma:contentTypeVersion="12" ma:contentTypeDescription="" ma:contentTypeScope="" ma:versionID="2eafb788109c02181feeaf29d9c31377">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560ba1ee06e4ba59908b18106a432f08"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2.xml><?xml version="1.0" encoding="utf-8"?>
<ds:datastoreItem xmlns:ds="http://schemas.openxmlformats.org/officeDocument/2006/customXml" ds:itemID="{F23E918E-6927-43A5-BE4A-3523A98789A4}">
  <ds:schemaRefs>
    <ds:schemaRef ds:uri="Microsoft.SharePoint.Taxonomy.ContentTypeSync"/>
  </ds:schemaRefs>
</ds:datastoreItem>
</file>

<file path=customXml/itemProps3.xml><?xml version="1.0" encoding="utf-8"?>
<ds:datastoreItem xmlns:ds="http://schemas.openxmlformats.org/officeDocument/2006/customXml" ds:itemID="{7528738D-280E-4D10-ACC8-C4B1C681B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5.xml><?xml version="1.0" encoding="utf-8"?>
<ds:datastoreItem xmlns:ds="http://schemas.openxmlformats.org/officeDocument/2006/customXml" ds:itemID="{F37AF2E3-8F9E-C649-A786-ED875F82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Microsoft Office User</cp:lastModifiedBy>
  <cp:revision>6</cp:revision>
  <cp:lastPrinted>2016-10-24T14:35:00Z</cp:lastPrinted>
  <dcterms:created xsi:type="dcterms:W3CDTF">2020-04-27T08:47:00Z</dcterms:created>
  <dcterms:modified xsi:type="dcterms:W3CDTF">2020-05-14T14:32:00Z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0x0101009EEBF4EEA106574CBB2CBD1021D2AA370600AB16C9136A1C9846A04E8EDF3B9E188B</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