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3">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4">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F168AA">
      <w:pPr>
        <w:spacing w:after="0"/>
        <w:rPr>
          <w:rFonts w:ascii="Arial" w:hAnsi="Arial" w:cs="Arial"/>
          <w:b/>
        </w:rPr>
      </w:pPr>
    </w:p>
    <w:p w14:paraId="55290609" w14:textId="5BD423F1" w:rsidR="00725041" w:rsidRPr="00AB523C" w:rsidRDefault="00725041" w:rsidP="00F168AA">
      <w:pPr>
        <w:widowControl w:val="0"/>
        <w:tabs>
          <w:tab w:val="left" w:pos="2736"/>
        </w:tabs>
        <w:rPr>
          <w:rFonts w:ascii="Arial" w:hAnsi="Arial" w:cs="Arial"/>
          <w:b/>
          <w:sz w:val="24"/>
          <w:szCs w:val="24"/>
        </w:rPr>
      </w:pPr>
      <w:r w:rsidRPr="00AB523C">
        <w:rPr>
          <w:rFonts w:ascii="Arial" w:hAnsi="Arial" w:cs="Arial"/>
          <w:b/>
          <w:sz w:val="24"/>
          <w:szCs w:val="24"/>
        </w:rPr>
        <w:t xml:space="preserve">Appointment of a Lecturer/Senior Lecturer in </w:t>
      </w:r>
      <w:r w:rsidR="006F65D5">
        <w:rPr>
          <w:rFonts w:ascii="Arial" w:hAnsi="Arial" w:cs="Arial"/>
          <w:b/>
          <w:sz w:val="24"/>
          <w:szCs w:val="24"/>
        </w:rPr>
        <w:t>Tourism</w:t>
      </w:r>
      <w:r w:rsidR="003D2A5E">
        <w:rPr>
          <w:rFonts w:ascii="Arial" w:hAnsi="Arial" w:cs="Arial"/>
          <w:b/>
          <w:sz w:val="24"/>
          <w:szCs w:val="24"/>
        </w:rPr>
        <w:t xml:space="preserve"> </w:t>
      </w:r>
      <w:r w:rsidR="00A8623D">
        <w:rPr>
          <w:rFonts w:ascii="Arial" w:hAnsi="Arial" w:cs="Arial"/>
          <w:b/>
          <w:sz w:val="24"/>
          <w:szCs w:val="24"/>
        </w:rPr>
        <w:t>(</w:t>
      </w:r>
      <w:r w:rsidR="003D2A5E">
        <w:rPr>
          <w:rFonts w:ascii="Arial" w:hAnsi="Arial" w:cs="Arial"/>
          <w:b/>
          <w:sz w:val="24"/>
          <w:szCs w:val="24"/>
        </w:rPr>
        <w:t>full-time)</w:t>
      </w:r>
    </w:p>
    <w:p w14:paraId="0026C985" w14:textId="77777777" w:rsidR="00725041" w:rsidRDefault="00725041" w:rsidP="00F168AA">
      <w:pPr>
        <w:ind w:left="2127" w:hanging="2127"/>
        <w:rPr>
          <w:rFonts w:ascii="Arial" w:hAnsi="Arial" w:cs="Arial"/>
          <w:b/>
        </w:rPr>
      </w:pPr>
      <w:r w:rsidRPr="00FF59B0">
        <w:rPr>
          <w:rFonts w:ascii="Arial" w:hAnsi="Arial" w:cs="Arial"/>
          <w:b/>
        </w:rPr>
        <w:t>The Job</w:t>
      </w:r>
      <w:r w:rsidRPr="00FF59B0">
        <w:rPr>
          <w:rFonts w:ascii="Arial" w:hAnsi="Arial" w:cs="Arial"/>
          <w:b/>
        </w:rPr>
        <w:tab/>
      </w:r>
    </w:p>
    <w:p w14:paraId="1D4C7FF2" w14:textId="65B37012"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14:paraId="17138592" w14:textId="2092604B"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19A942CF" w:rsidR="00725041" w:rsidRPr="00FF59B0" w:rsidRDefault="00725041" w:rsidP="00F168AA">
      <w:pPr>
        <w:rPr>
          <w:rFonts w:ascii="Arial" w:hAnsi="Arial" w:cs="Arial"/>
        </w:rPr>
      </w:pPr>
      <w:r w:rsidRPr="00FF59B0">
        <w:rPr>
          <w:rFonts w:ascii="Arial" w:hAnsi="Arial" w:cs="Arial"/>
        </w:rPr>
        <w:t xml:space="preserve">In </w:t>
      </w:r>
      <w:r w:rsidR="00A8623D" w:rsidRPr="00FF59B0">
        <w:rPr>
          <w:rFonts w:ascii="Arial" w:hAnsi="Arial" w:cs="Arial"/>
        </w:rPr>
        <w:t>addition,</w:t>
      </w:r>
      <w:r w:rsidRPr="00FF59B0">
        <w:rPr>
          <w:rFonts w:ascii="Arial" w:hAnsi="Arial" w:cs="Arial"/>
        </w:rPr>
        <w:t xml:space="preserve"> a Senior Lecturer (A</w:t>
      </w:r>
      <w:r w:rsidR="00F168AA">
        <w:rPr>
          <w:rFonts w:ascii="Arial" w:hAnsi="Arial" w:cs="Arial"/>
        </w:rPr>
        <w:t>C</w:t>
      </w:r>
      <w:r w:rsidRPr="00FF59B0">
        <w:rPr>
          <w:rFonts w:ascii="Arial" w:hAnsi="Arial" w:cs="Arial"/>
        </w:rPr>
        <w:t xml:space="preserve">3) is expected to be able to design teaching materials, identify areas where current provision </w:t>
      </w:r>
      <w:r w:rsidR="009A0E7B" w:rsidRPr="00FF59B0">
        <w:rPr>
          <w:rFonts w:ascii="Arial" w:hAnsi="Arial" w:cs="Arial"/>
        </w:rPr>
        <w:t>needs</w:t>
      </w:r>
      <w:r w:rsidRPr="00FF59B0">
        <w:rPr>
          <w:rFonts w:ascii="Arial" w:hAnsi="Arial" w:cs="Arial"/>
        </w:rPr>
        <w:t xml:space="preserve"> revision or improvement, supervise student projects, field trips and placement activity.</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68FA9D8D" w:rsidR="00725041" w:rsidRPr="00FF59B0" w:rsidRDefault="00725041" w:rsidP="00F168AA">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221D7F51" w:rsidR="00725041" w:rsidRPr="00FF59B0" w:rsidRDefault="00725041" w:rsidP="00F168AA">
      <w:pPr>
        <w:rPr>
          <w:rFonts w:ascii="Arial" w:hAnsi="Arial" w:cs="Arial"/>
        </w:rPr>
      </w:pPr>
      <w:r w:rsidRPr="00FF59B0">
        <w:rPr>
          <w:rFonts w:ascii="Arial" w:hAnsi="Arial" w:cs="Arial"/>
        </w:rPr>
        <w:t xml:space="preserve">In </w:t>
      </w:r>
      <w:r w:rsidR="009A0E7B">
        <w:rPr>
          <w:rFonts w:ascii="Arial" w:hAnsi="Arial" w:cs="Arial"/>
        </w:rPr>
        <w:t>addition,</w:t>
      </w:r>
      <w:r w:rsidRPr="00FF59B0">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725041" w:rsidRDefault="00725041" w:rsidP="00F168AA">
      <w:pPr>
        <w:rPr>
          <w:rFonts w:ascii="Arial" w:hAnsi="Arial" w:cs="Arial"/>
          <w:b/>
        </w:rPr>
      </w:pPr>
      <w:r w:rsidRPr="00725041">
        <w:rPr>
          <w:rFonts w:ascii="Arial" w:hAnsi="Arial" w:cs="Arial"/>
          <w:b/>
        </w:rPr>
        <w:lastRenderedPageBreak/>
        <w:t>Communication</w:t>
      </w:r>
    </w:p>
    <w:p w14:paraId="72A54E3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B358BF" w:rsidR="00725041" w:rsidRPr="00FF59B0" w:rsidRDefault="00725041" w:rsidP="00F168AA">
      <w:pPr>
        <w:rPr>
          <w:rFonts w:ascii="Arial" w:hAnsi="Arial" w:cs="Arial"/>
        </w:rPr>
      </w:pPr>
      <w:r w:rsidRPr="00FF59B0">
        <w:rPr>
          <w:rFonts w:ascii="Arial" w:hAnsi="Arial" w:cs="Arial"/>
        </w:rPr>
        <w:t xml:space="preserve">In </w:t>
      </w:r>
      <w:r w:rsidR="009A0E7B">
        <w:rPr>
          <w:rFonts w:ascii="Arial" w:hAnsi="Arial" w:cs="Arial"/>
        </w:rPr>
        <w:t>addition,</w:t>
      </w:r>
      <w:r w:rsidRPr="00FF59B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392198E8" w14:textId="302EC9DA" w:rsidR="00725041" w:rsidRPr="00FF59B0" w:rsidRDefault="00725041" w:rsidP="00F168AA">
      <w:pPr>
        <w:rPr>
          <w:rFonts w:ascii="Arial" w:hAnsi="Arial" w:cs="Arial"/>
        </w:rPr>
      </w:pPr>
      <w:r w:rsidRPr="00FF59B0">
        <w:rPr>
          <w:rFonts w:ascii="Arial" w:hAnsi="Arial" w:cs="Arial"/>
        </w:rPr>
        <w:t xml:space="preserve">In </w:t>
      </w:r>
      <w:r w:rsidR="009A0E7B">
        <w:rPr>
          <w:rFonts w:ascii="Arial" w:hAnsi="Arial" w:cs="Arial"/>
        </w:rPr>
        <w:t>addition,</w:t>
      </w:r>
      <w:r w:rsidRPr="00FF59B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45AEC296" w14:textId="1FC250C3" w:rsidR="00725041" w:rsidRPr="00FF59B0" w:rsidRDefault="00725041" w:rsidP="00F168AA">
      <w:pPr>
        <w:rPr>
          <w:rFonts w:ascii="Arial" w:hAnsi="Arial" w:cs="Arial"/>
        </w:rPr>
      </w:pPr>
      <w:r w:rsidRPr="00FF59B0">
        <w:rPr>
          <w:rFonts w:ascii="Arial" w:hAnsi="Arial" w:cs="Arial"/>
        </w:rPr>
        <w:t xml:space="preserve">In </w:t>
      </w:r>
      <w:r w:rsidR="00A8623D" w:rsidRPr="00FF59B0">
        <w:rPr>
          <w:rFonts w:ascii="Arial" w:hAnsi="Arial" w:cs="Arial"/>
        </w:rPr>
        <w:t>addition,</w:t>
      </w:r>
      <w:r w:rsidRPr="00FF59B0">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0FAA8D26" w:rsidR="00725041" w:rsidRPr="00FF59B0" w:rsidRDefault="00725041" w:rsidP="00F168AA">
      <w:pPr>
        <w:rPr>
          <w:rFonts w:ascii="Arial" w:hAnsi="Arial" w:cs="Arial"/>
        </w:rPr>
      </w:pPr>
      <w:r w:rsidRPr="00FF59B0">
        <w:rPr>
          <w:rFonts w:ascii="Arial" w:hAnsi="Arial" w:cs="Arial"/>
        </w:rPr>
        <w:t xml:space="preserve">In </w:t>
      </w:r>
      <w:r w:rsidR="009A0E7B">
        <w:rPr>
          <w:rFonts w:ascii="Arial" w:hAnsi="Arial" w:cs="Arial"/>
        </w:rPr>
        <w:t>addition,</w:t>
      </w:r>
      <w:r w:rsidRPr="00FF59B0">
        <w:rPr>
          <w:rFonts w:ascii="Arial" w:hAnsi="Arial" w:cs="Arial"/>
        </w:rPr>
        <w:t xml:space="preserve"> a Senior Lecturer may be required to act as a team leader in a </w:t>
      </w:r>
      <w:proofErr w:type="gramStart"/>
      <w:r w:rsidRPr="00FF59B0">
        <w:rPr>
          <w:rFonts w:ascii="Arial" w:hAnsi="Arial" w:cs="Arial"/>
        </w:rPr>
        <w:t>small scale</w:t>
      </w:r>
      <w:proofErr w:type="gramEnd"/>
      <w:r w:rsidRPr="00FF59B0">
        <w:rPr>
          <w:rFonts w:ascii="Arial" w:hAnsi="Arial" w:cs="Arial"/>
        </w:rPr>
        <w:t xml:space="preserve"> project.</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77777777" w:rsidR="00725041" w:rsidRPr="00FF59B0" w:rsidRDefault="00725041" w:rsidP="00F168AA">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F168AA">
      <w:pPr>
        <w:rPr>
          <w:rFonts w:ascii="Arial" w:hAnsi="Arial" w:cs="Arial"/>
        </w:rPr>
      </w:pPr>
      <w:r w:rsidRPr="00FF59B0">
        <w:rPr>
          <w:rFonts w:ascii="Arial" w:hAnsi="Arial" w:cs="Arial"/>
        </w:rPr>
        <w:t xml:space="preserve">A Lecturer will be able to:  develop and apply initiative, creativity and judgement in the conduct of teaching and research; respond effectively to pedagogical and practical </w:t>
      </w:r>
      <w:r w:rsidRPr="00FF59B0">
        <w:rPr>
          <w:rFonts w:ascii="Arial" w:hAnsi="Arial" w:cs="Arial"/>
        </w:rPr>
        <w:lastRenderedPageBreak/>
        <w:t>challenges, and contribute to decision making on, and share responsibility for, the academic content, delivery and assessment of modules.</w:t>
      </w:r>
    </w:p>
    <w:p w14:paraId="6202C22E" w14:textId="14E09A9B" w:rsidR="00725041" w:rsidRPr="00FF59B0" w:rsidRDefault="00725041" w:rsidP="00F168AA">
      <w:pPr>
        <w:rPr>
          <w:rFonts w:ascii="Arial" w:hAnsi="Arial" w:cs="Arial"/>
        </w:rPr>
      </w:pPr>
      <w:r w:rsidRPr="00FF59B0">
        <w:rPr>
          <w:rFonts w:ascii="Arial" w:hAnsi="Arial" w:cs="Arial"/>
        </w:rPr>
        <w:t xml:space="preserve">In </w:t>
      </w:r>
      <w:r w:rsidR="005A6876" w:rsidRPr="00FF59B0">
        <w:rPr>
          <w:rFonts w:ascii="Arial" w:hAnsi="Arial" w:cs="Arial"/>
        </w:rPr>
        <w:t>addition,</w:t>
      </w:r>
      <w:r w:rsidRPr="00FF59B0">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0D74D119"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1441F34A" w:rsidR="00725041" w:rsidRPr="00FF59B0" w:rsidRDefault="00725041" w:rsidP="00F168AA">
      <w:pPr>
        <w:rPr>
          <w:rFonts w:ascii="Arial" w:hAnsi="Arial" w:cs="Arial"/>
        </w:rPr>
      </w:pPr>
      <w:r w:rsidRPr="00FF59B0">
        <w:rPr>
          <w:rFonts w:ascii="Arial" w:hAnsi="Arial" w:cs="Arial"/>
        </w:rPr>
        <w:t xml:space="preserve">In </w:t>
      </w:r>
      <w:r w:rsidR="009A0E7B">
        <w:rPr>
          <w:rFonts w:ascii="Arial" w:hAnsi="Arial" w:cs="Arial"/>
        </w:rPr>
        <w:t>addition,</w:t>
      </w:r>
      <w:r w:rsidRPr="00FF59B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57D0EA19" w14:textId="77777777" w:rsidR="00CC4320" w:rsidRPr="00766871" w:rsidRDefault="00CC4320" w:rsidP="00CC4320">
      <w:pPr>
        <w:rPr>
          <w:rFonts w:ascii="Arial" w:hAnsi="Arial" w:cs="Arial"/>
          <w:b/>
        </w:rPr>
      </w:pPr>
      <w:r w:rsidRPr="00766871">
        <w:rPr>
          <w:rFonts w:ascii="Arial" w:hAnsi="Arial" w:cs="Arial"/>
          <w:b/>
        </w:rPr>
        <w:t>Person Specification</w:t>
      </w:r>
    </w:p>
    <w:p w14:paraId="6CD2A9B4" w14:textId="7CA11C75"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14:paraId="24053798" w14:textId="4AB84AA1" w:rsidR="00725041" w:rsidRDefault="00725041" w:rsidP="00F168AA">
      <w:pPr>
        <w:rPr>
          <w:rFonts w:ascii="Arial" w:hAnsi="Arial" w:cs="Arial"/>
        </w:rPr>
      </w:pPr>
      <w:r>
        <w:rPr>
          <w:rFonts w:ascii="Arial" w:hAnsi="Arial" w:cs="Arial"/>
        </w:rPr>
        <w:t>I</w:t>
      </w:r>
      <w:r w:rsidRPr="00FF59B0">
        <w:rPr>
          <w:rFonts w:ascii="Arial" w:hAnsi="Arial" w:cs="Arial"/>
        </w:rPr>
        <w:t>t is expected</w:t>
      </w:r>
      <w:r w:rsidR="00766871">
        <w:rPr>
          <w:rFonts w:ascii="Arial" w:hAnsi="Arial" w:cs="Arial"/>
        </w:rPr>
        <w:t xml:space="preserve"> </w:t>
      </w:r>
      <w:r w:rsidRPr="00FF59B0">
        <w:rPr>
          <w:rFonts w:ascii="Arial" w:hAnsi="Arial" w:cs="Arial"/>
        </w:rPr>
        <w:t>that the criteria below regarding knowledge and qualifications will be met by the successful candidate.</w:t>
      </w:r>
    </w:p>
    <w:p w14:paraId="7CAD3987" w14:textId="77777777" w:rsidR="00BD67F7" w:rsidRDefault="00766871" w:rsidP="00BD67F7">
      <w:pPr>
        <w:rPr>
          <w:rFonts w:ascii="Arial" w:hAnsi="Arial" w:cs="Arial"/>
          <w:b/>
        </w:rPr>
      </w:pPr>
      <w:r w:rsidRPr="005A6876">
        <w:rPr>
          <w:rFonts w:ascii="Arial" w:hAnsi="Arial" w:cs="Arial"/>
          <w:b/>
        </w:rPr>
        <w:t>Essential</w:t>
      </w:r>
    </w:p>
    <w:p w14:paraId="66CF5D68" w14:textId="56D06CD6" w:rsidR="00C07524" w:rsidRPr="00FF59B0" w:rsidRDefault="00C07524" w:rsidP="00C07524">
      <w:pPr>
        <w:ind w:left="720" w:hanging="720"/>
        <w:rPr>
          <w:rFonts w:ascii="Arial" w:hAnsi="Arial" w:cs="Arial"/>
        </w:rPr>
      </w:pPr>
      <w:r w:rsidRPr="00FF59B0">
        <w:rPr>
          <w:rFonts w:ascii="Arial" w:hAnsi="Arial" w:cs="Arial"/>
        </w:rPr>
        <w:t>•</w:t>
      </w:r>
      <w:r w:rsidRPr="00FF59B0">
        <w:rPr>
          <w:rFonts w:ascii="Arial" w:hAnsi="Arial" w:cs="Arial"/>
        </w:rPr>
        <w:tab/>
      </w:r>
      <w:r w:rsidR="006050C8">
        <w:rPr>
          <w:rFonts w:ascii="Arial" w:hAnsi="Arial" w:cs="Arial"/>
        </w:rPr>
        <w:t>A</w:t>
      </w:r>
      <w:r w:rsidRPr="00FF59B0">
        <w:rPr>
          <w:rFonts w:ascii="Arial" w:hAnsi="Arial" w:cs="Arial"/>
        </w:rPr>
        <w:t xml:space="preserve"> </w:t>
      </w:r>
      <w:r w:rsidR="006050C8">
        <w:rPr>
          <w:rFonts w:ascii="Arial" w:hAnsi="Arial" w:cs="Arial"/>
        </w:rPr>
        <w:t>doctoral</w:t>
      </w:r>
      <w:r w:rsidR="006050C8" w:rsidRPr="00FF59B0">
        <w:rPr>
          <w:rFonts w:ascii="Arial" w:hAnsi="Arial" w:cs="Arial"/>
        </w:rPr>
        <w:t xml:space="preserve"> </w:t>
      </w:r>
      <w:r w:rsidRPr="00FF59B0">
        <w:rPr>
          <w:rFonts w:ascii="Arial" w:hAnsi="Arial" w:cs="Arial"/>
        </w:rPr>
        <w:t xml:space="preserve">qualification/PhD </w:t>
      </w:r>
      <w:r>
        <w:rPr>
          <w:rFonts w:ascii="Arial" w:hAnsi="Arial" w:cs="Arial"/>
        </w:rPr>
        <w:t xml:space="preserve">in </w:t>
      </w:r>
      <w:r w:rsidR="006F65D5">
        <w:rPr>
          <w:rFonts w:ascii="Arial" w:hAnsi="Arial" w:cs="Arial"/>
        </w:rPr>
        <w:t>Tourism</w:t>
      </w:r>
      <w:r>
        <w:rPr>
          <w:rFonts w:ascii="Arial" w:hAnsi="Arial" w:cs="Arial"/>
        </w:rPr>
        <w:t xml:space="preserve"> or related </w:t>
      </w:r>
      <w:r w:rsidR="006050C8">
        <w:rPr>
          <w:rFonts w:ascii="Arial" w:hAnsi="Arial" w:cs="Arial"/>
        </w:rPr>
        <w:t>subject</w:t>
      </w:r>
      <w:r w:rsidR="006050C8" w:rsidRPr="00C07524">
        <w:rPr>
          <w:rFonts w:ascii="Arial" w:hAnsi="Arial" w:cs="Arial"/>
        </w:rPr>
        <w:t xml:space="preserve"> </w:t>
      </w:r>
      <w:r w:rsidR="006050C8">
        <w:rPr>
          <w:rFonts w:ascii="Arial" w:hAnsi="Arial" w:cs="Arial"/>
        </w:rPr>
        <w:t>or near completion</w:t>
      </w:r>
    </w:p>
    <w:p w14:paraId="2C243E8C" w14:textId="2ABE556A" w:rsidR="006050C8" w:rsidRDefault="00C07524" w:rsidP="00C07524">
      <w:pPr>
        <w:rPr>
          <w:rFonts w:ascii="Arial" w:hAnsi="Arial" w:cs="Arial"/>
        </w:rPr>
      </w:pPr>
      <w:r w:rsidRPr="00FF59B0">
        <w:rPr>
          <w:rFonts w:ascii="Arial" w:hAnsi="Arial" w:cs="Arial"/>
        </w:rPr>
        <w:t>•</w:t>
      </w:r>
      <w:r w:rsidRPr="00FF59B0">
        <w:rPr>
          <w:rFonts w:ascii="Arial" w:hAnsi="Arial" w:cs="Arial"/>
        </w:rPr>
        <w:tab/>
      </w:r>
      <w:r w:rsidR="006050C8">
        <w:rPr>
          <w:rFonts w:ascii="Arial" w:hAnsi="Arial" w:cs="Arial"/>
        </w:rPr>
        <w:t xml:space="preserve">A </w:t>
      </w:r>
      <w:r w:rsidRPr="00FF59B0">
        <w:rPr>
          <w:rFonts w:ascii="Arial" w:hAnsi="Arial" w:cs="Arial"/>
        </w:rPr>
        <w:t>relevant higher degree/professional qualification</w:t>
      </w:r>
      <w:r w:rsidR="007C6C32">
        <w:rPr>
          <w:rFonts w:ascii="Arial" w:hAnsi="Arial" w:cs="Arial"/>
        </w:rPr>
        <w:t xml:space="preserve"> in the tourism area</w:t>
      </w:r>
    </w:p>
    <w:p w14:paraId="3C3F3BB1" w14:textId="67F2F828" w:rsidR="00C07524" w:rsidRPr="00FF59B0" w:rsidRDefault="006050C8" w:rsidP="001D4A17">
      <w:pPr>
        <w:ind w:left="709" w:hanging="709"/>
        <w:rPr>
          <w:rFonts w:ascii="Arial" w:hAnsi="Arial" w:cs="Arial"/>
        </w:rPr>
      </w:pPr>
      <w:r w:rsidRPr="00FF59B0">
        <w:rPr>
          <w:rFonts w:ascii="Arial" w:hAnsi="Arial" w:cs="Arial"/>
        </w:rPr>
        <w:t>•</w:t>
      </w:r>
      <w:r w:rsidRPr="00FF59B0">
        <w:rPr>
          <w:rFonts w:ascii="Arial" w:hAnsi="Arial" w:cs="Arial"/>
        </w:rPr>
        <w:tab/>
      </w:r>
      <w:r w:rsidR="00C07524" w:rsidRPr="00FF59B0">
        <w:rPr>
          <w:rFonts w:ascii="Arial" w:hAnsi="Arial" w:cs="Arial"/>
        </w:rPr>
        <w:t xml:space="preserve">Up-to-date, sound knowledge of the </w:t>
      </w:r>
      <w:r>
        <w:rPr>
          <w:rFonts w:ascii="Arial" w:hAnsi="Arial" w:cs="Arial"/>
        </w:rPr>
        <w:t xml:space="preserve">tourism </w:t>
      </w:r>
      <w:r w:rsidR="00C07524" w:rsidRPr="00FF59B0">
        <w:rPr>
          <w:rFonts w:ascii="Arial" w:hAnsi="Arial" w:cs="Arial"/>
        </w:rPr>
        <w:t>subject</w:t>
      </w:r>
      <w:r>
        <w:rPr>
          <w:rFonts w:ascii="Arial" w:hAnsi="Arial" w:cs="Arial"/>
        </w:rPr>
        <w:t>,</w:t>
      </w:r>
      <w:r w:rsidR="00C07524" w:rsidRPr="00FF59B0">
        <w:rPr>
          <w:rFonts w:ascii="Arial" w:hAnsi="Arial" w:cs="Arial"/>
        </w:rPr>
        <w:t xml:space="preserve"> including current professional/vocational developments and the range of generic skills required</w:t>
      </w:r>
    </w:p>
    <w:p w14:paraId="60E1D821" w14:textId="0C955D7E" w:rsidR="00C07524" w:rsidRPr="00FF59B0" w:rsidRDefault="00C07524" w:rsidP="00C07524">
      <w:pPr>
        <w:ind w:left="720" w:hanging="720"/>
        <w:rPr>
          <w:rFonts w:ascii="Arial" w:hAnsi="Arial" w:cs="Arial"/>
        </w:rPr>
      </w:pPr>
      <w:r w:rsidRPr="00FF59B0">
        <w:rPr>
          <w:rFonts w:ascii="Arial" w:hAnsi="Arial" w:cs="Arial"/>
        </w:rPr>
        <w:t>•</w:t>
      </w:r>
      <w:r w:rsidRPr="00FF59B0">
        <w:rPr>
          <w:rFonts w:ascii="Arial" w:hAnsi="Arial" w:cs="Arial"/>
        </w:rPr>
        <w:tab/>
        <w:t xml:space="preserve">Understanding of academic and award standards and the range and level of knowledge and skills, both subject-specific and generic, which the programme is intended to </w:t>
      </w:r>
      <w:r w:rsidR="006050C8">
        <w:rPr>
          <w:rFonts w:ascii="Arial" w:hAnsi="Arial" w:cs="Arial"/>
        </w:rPr>
        <w:t>deliver</w:t>
      </w:r>
    </w:p>
    <w:p w14:paraId="532D5A3B" w14:textId="62DF97A7" w:rsidR="00C07524" w:rsidRPr="00FF59B0" w:rsidRDefault="00C07524" w:rsidP="001D4A17">
      <w:pPr>
        <w:ind w:left="720" w:hanging="720"/>
        <w:rPr>
          <w:rFonts w:ascii="Arial" w:hAnsi="Arial" w:cs="Arial"/>
        </w:rPr>
      </w:pPr>
      <w:r w:rsidRPr="00FF59B0">
        <w:rPr>
          <w:rFonts w:ascii="Arial" w:hAnsi="Arial" w:cs="Arial"/>
        </w:rPr>
        <w:t>•</w:t>
      </w:r>
      <w:r w:rsidRPr="00FF59B0">
        <w:rPr>
          <w:rFonts w:ascii="Arial" w:hAnsi="Arial" w:cs="Arial"/>
        </w:rPr>
        <w:tab/>
        <w:t xml:space="preserve">Competent IT </w:t>
      </w:r>
      <w:r w:rsidR="006050C8">
        <w:rPr>
          <w:rFonts w:ascii="Arial" w:hAnsi="Arial" w:cs="Arial"/>
        </w:rPr>
        <w:t xml:space="preserve">and virtual learning environments </w:t>
      </w:r>
      <w:r w:rsidRPr="00FF59B0">
        <w:rPr>
          <w:rFonts w:ascii="Arial" w:hAnsi="Arial" w:cs="Arial"/>
        </w:rPr>
        <w:t>skills for teaching and learning</w:t>
      </w:r>
    </w:p>
    <w:p w14:paraId="6F822D6D" w14:textId="70BED1C0" w:rsidR="004F4C29" w:rsidRDefault="00C07524" w:rsidP="006F65D5">
      <w:pPr>
        <w:ind w:left="720" w:hanging="720"/>
        <w:rPr>
          <w:rFonts w:ascii="Segoe UI" w:eastAsia="Times New Roman" w:hAnsi="Segoe UI" w:cs="Segoe UI"/>
          <w:sz w:val="21"/>
          <w:szCs w:val="21"/>
        </w:rPr>
      </w:pPr>
      <w:r w:rsidRPr="00FF59B0">
        <w:rPr>
          <w:rFonts w:ascii="Arial" w:hAnsi="Arial" w:cs="Arial"/>
        </w:rPr>
        <w:t>•</w:t>
      </w:r>
      <w:r w:rsidRPr="00FF59B0">
        <w:rPr>
          <w:rFonts w:ascii="Arial" w:hAnsi="Arial" w:cs="Arial"/>
        </w:rPr>
        <w:tab/>
      </w:r>
      <w:r>
        <w:rPr>
          <w:rFonts w:ascii="Arial" w:hAnsi="Arial" w:cs="Arial"/>
        </w:rPr>
        <w:t xml:space="preserve">Experience in teaching </w:t>
      </w:r>
      <w:r w:rsidR="006F65D5">
        <w:rPr>
          <w:rFonts w:ascii="Arial" w:hAnsi="Arial" w:cs="Arial"/>
        </w:rPr>
        <w:t xml:space="preserve">Tourism with a focus </w:t>
      </w:r>
      <w:r w:rsidR="006050C8">
        <w:rPr>
          <w:rFonts w:ascii="Segoe UI" w:eastAsia="Times New Roman" w:hAnsi="Segoe UI" w:cs="Segoe UI"/>
          <w:sz w:val="21"/>
          <w:szCs w:val="21"/>
        </w:rPr>
        <w:t>on</w:t>
      </w:r>
      <w:r w:rsidR="006050C8" w:rsidRPr="006F65D5">
        <w:rPr>
          <w:rFonts w:ascii="Segoe UI" w:eastAsia="Times New Roman" w:hAnsi="Segoe UI" w:cs="Segoe UI"/>
          <w:sz w:val="21"/>
          <w:szCs w:val="21"/>
        </w:rPr>
        <w:t xml:space="preserve"> </w:t>
      </w:r>
      <w:r w:rsidR="006F65D5" w:rsidRPr="006F65D5">
        <w:rPr>
          <w:rFonts w:ascii="Segoe UI" w:eastAsia="Times New Roman" w:hAnsi="Segoe UI" w:cs="Segoe UI"/>
          <w:sz w:val="21"/>
          <w:szCs w:val="21"/>
        </w:rPr>
        <w:t>any business-r</w:t>
      </w:r>
      <w:r w:rsidR="006F65D5">
        <w:rPr>
          <w:rFonts w:ascii="Segoe UI" w:eastAsia="Times New Roman" w:hAnsi="Segoe UI" w:cs="Segoe UI"/>
          <w:sz w:val="21"/>
          <w:szCs w:val="21"/>
        </w:rPr>
        <w:t xml:space="preserve">elated or social science aspect </w:t>
      </w:r>
      <w:r w:rsidR="006F65D5" w:rsidRPr="006F65D5">
        <w:rPr>
          <w:rFonts w:ascii="Segoe UI" w:eastAsia="Times New Roman" w:hAnsi="Segoe UI" w:cs="Segoe UI"/>
          <w:sz w:val="21"/>
          <w:szCs w:val="21"/>
        </w:rPr>
        <w:t>of tourism</w:t>
      </w:r>
      <w:r w:rsidR="006050C8">
        <w:rPr>
          <w:rFonts w:ascii="Segoe UI" w:eastAsia="Times New Roman" w:hAnsi="Segoe UI" w:cs="Segoe UI"/>
          <w:sz w:val="21"/>
          <w:szCs w:val="21"/>
        </w:rPr>
        <w:t xml:space="preserve"> </w:t>
      </w:r>
      <w:r w:rsidR="006F65D5" w:rsidRPr="006F65D5">
        <w:rPr>
          <w:rFonts w:ascii="Segoe UI" w:eastAsia="Times New Roman" w:hAnsi="Segoe UI" w:cs="Segoe UI"/>
          <w:sz w:val="21"/>
          <w:szCs w:val="21"/>
        </w:rPr>
        <w:t xml:space="preserve">planning, development, </w:t>
      </w:r>
      <w:r w:rsidR="006F65D5">
        <w:rPr>
          <w:rFonts w:ascii="Segoe UI" w:eastAsia="Times New Roman" w:hAnsi="Segoe UI" w:cs="Segoe UI"/>
          <w:sz w:val="21"/>
          <w:szCs w:val="21"/>
        </w:rPr>
        <w:t xml:space="preserve">management and/or marketing. </w:t>
      </w:r>
    </w:p>
    <w:p w14:paraId="46DCA5B6" w14:textId="77777777" w:rsidR="006050C8" w:rsidRDefault="006050C8" w:rsidP="006F65D5">
      <w:pPr>
        <w:ind w:left="720" w:hanging="720"/>
        <w:rPr>
          <w:rFonts w:ascii="Arial" w:hAnsi="Arial" w:cs="Arial"/>
        </w:rPr>
      </w:pPr>
    </w:p>
    <w:p w14:paraId="63BC7026" w14:textId="77777777" w:rsidR="00945C8B" w:rsidRPr="00BD67F7" w:rsidRDefault="00945C8B" w:rsidP="00BD67F7">
      <w:pPr>
        <w:ind w:left="720" w:hanging="720"/>
        <w:rPr>
          <w:rFonts w:ascii="Arial" w:hAnsi="Arial" w:cs="Arial"/>
        </w:rPr>
      </w:pPr>
      <w:bookmarkStart w:id="0" w:name="_GoBack"/>
      <w:bookmarkEnd w:id="0"/>
    </w:p>
    <w:p w14:paraId="5BC4A5F0" w14:textId="2ECD837B" w:rsidR="00766871" w:rsidRDefault="00766871" w:rsidP="00766871">
      <w:pPr>
        <w:rPr>
          <w:rFonts w:ascii="Arial" w:hAnsi="Arial" w:cs="Arial"/>
          <w:b/>
        </w:rPr>
      </w:pPr>
      <w:r w:rsidRPr="005A6876">
        <w:rPr>
          <w:rFonts w:ascii="Arial" w:hAnsi="Arial" w:cs="Arial"/>
          <w:b/>
        </w:rPr>
        <w:lastRenderedPageBreak/>
        <w:t>Desirable</w:t>
      </w:r>
    </w:p>
    <w:p w14:paraId="4F5DD391" w14:textId="2EBD299A" w:rsidR="00D1146F" w:rsidRPr="009A0E7B" w:rsidRDefault="00D1146F" w:rsidP="009A0E7B">
      <w:pPr>
        <w:pStyle w:val="ListParagraph"/>
        <w:numPr>
          <w:ilvl w:val="0"/>
          <w:numId w:val="24"/>
        </w:numPr>
        <w:rPr>
          <w:rFonts w:ascii="Arial" w:hAnsi="Arial" w:cs="Arial"/>
        </w:rPr>
      </w:pPr>
      <w:r w:rsidRPr="009A0E7B">
        <w:rPr>
          <w:rFonts w:ascii="Arial" w:hAnsi="Arial" w:cs="Arial"/>
        </w:rPr>
        <w:t>Experience in supervising undergraduate and postgraduate students</w:t>
      </w:r>
    </w:p>
    <w:p w14:paraId="34B1CEA1" w14:textId="3CC2ED81" w:rsidR="006050C8" w:rsidRPr="009A0E7B" w:rsidRDefault="006050C8" w:rsidP="009A0E7B">
      <w:pPr>
        <w:pStyle w:val="ListParagraph"/>
        <w:numPr>
          <w:ilvl w:val="0"/>
          <w:numId w:val="24"/>
        </w:numPr>
        <w:rPr>
          <w:rFonts w:ascii="Arial" w:hAnsi="Arial" w:cs="Arial"/>
        </w:rPr>
      </w:pPr>
      <w:r w:rsidRPr="009A0E7B">
        <w:rPr>
          <w:rFonts w:ascii="Arial" w:hAnsi="Arial" w:cs="Arial"/>
        </w:rPr>
        <w:t>Experience in supervising PhD students</w:t>
      </w:r>
    </w:p>
    <w:p w14:paraId="5D8A4DB9" w14:textId="2940C427" w:rsidR="00D1146F" w:rsidRPr="009A0E7B" w:rsidRDefault="00D1146F" w:rsidP="009A0E7B">
      <w:pPr>
        <w:pStyle w:val="ListParagraph"/>
        <w:numPr>
          <w:ilvl w:val="0"/>
          <w:numId w:val="24"/>
        </w:numPr>
        <w:rPr>
          <w:rFonts w:ascii="Arial" w:hAnsi="Arial" w:cs="Arial"/>
        </w:rPr>
      </w:pPr>
      <w:r w:rsidRPr="009A0E7B">
        <w:rPr>
          <w:rFonts w:ascii="Arial" w:hAnsi="Arial" w:cs="Arial"/>
        </w:rPr>
        <w:t>Experience in module leadership and personal tutoring</w:t>
      </w:r>
    </w:p>
    <w:p w14:paraId="6A411928" w14:textId="2D656487" w:rsidR="006F65D5" w:rsidRPr="009A0E7B" w:rsidRDefault="006050C8" w:rsidP="009A0E7B">
      <w:pPr>
        <w:pStyle w:val="ListParagraph"/>
        <w:numPr>
          <w:ilvl w:val="0"/>
          <w:numId w:val="24"/>
        </w:numPr>
        <w:rPr>
          <w:rFonts w:ascii="Arial" w:hAnsi="Arial" w:cs="Arial"/>
        </w:rPr>
      </w:pPr>
      <w:r w:rsidRPr="009A0E7B">
        <w:rPr>
          <w:rFonts w:ascii="Arial" w:hAnsi="Arial" w:cs="Arial"/>
        </w:rPr>
        <w:t>Teaching e</w:t>
      </w:r>
      <w:r w:rsidR="006F65D5" w:rsidRPr="009A0E7B">
        <w:rPr>
          <w:rFonts w:ascii="Arial" w:hAnsi="Arial" w:cs="Arial"/>
        </w:rPr>
        <w:t xml:space="preserve">xperience and </w:t>
      </w:r>
      <w:r w:rsidRPr="009A0E7B">
        <w:rPr>
          <w:rFonts w:ascii="Arial" w:hAnsi="Arial" w:cs="Arial"/>
        </w:rPr>
        <w:t xml:space="preserve">research </w:t>
      </w:r>
      <w:r w:rsidR="006F65D5" w:rsidRPr="009A0E7B">
        <w:rPr>
          <w:rFonts w:ascii="Arial" w:hAnsi="Arial" w:cs="Arial"/>
        </w:rPr>
        <w:t>interest</w:t>
      </w:r>
      <w:r w:rsidRPr="009A0E7B">
        <w:rPr>
          <w:rFonts w:ascii="Arial" w:hAnsi="Arial" w:cs="Arial"/>
        </w:rPr>
        <w:t>s</w:t>
      </w:r>
      <w:r w:rsidR="006F65D5" w:rsidRPr="009A0E7B">
        <w:rPr>
          <w:rFonts w:ascii="Arial" w:hAnsi="Arial" w:cs="Arial"/>
        </w:rPr>
        <w:t xml:space="preserve"> in sustainability and responsibility in tourism and/or digitalisation and/or entrepreneurship, and/or attraction management </w:t>
      </w:r>
      <w:r w:rsidRPr="009A0E7B">
        <w:rPr>
          <w:rFonts w:ascii="Arial" w:hAnsi="Arial" w:cs="Arial"/>
        </w:rPr>
        <w:t xml:space="preserve">and/or </w:t>
      </w:r>
      <w:r w:rsidR="006F65D5" w:rsidRPr="009A0E7B">
        <w:rPr>
          <w:rFonts w:ascii="Arial" w:hAnsi="Arial" w:cs="Arial"/>
        </w:rPr>
        <w:t>heritage management, and/or event tourism</w:t>
      </w:r>
    </w:p>
    <w:p w14:paraId="44AE84C9" w14:textId="77777777" w:rsidR="009A0E7B" w:rsidRDefault="00D1146F" w:rsidP="009848E5">
      <w:pPr>
        <w:pStyle w:val="ListParagraph"/>
        <w:numPr>
          <w:ilvl w:val="0"/>
          <w:numId w:val="24"/>
        </w:numPr>
        <w:rPr>
          <w:rFonts w:ascii="Arial" w:hAnsi="Arial" w:cs="Arial"/>
        </w:rPr>
      </w:pPr>
      <w:r w:rsidRPr="009A0E7B">
        <w:rPr>
          <w:rFonts w:ascii="Arial" w:hAnsi="Arial" w:cs="Arial"/>
        </w:rPr>
        <w:t xml:space="preserve">Professional Teaching Qualification PGCert or HEA Membership </w:t>
      </w:r>
    </w:p>
    <w:p w14:paraId="652FB228" w14:textId="1A13B11B" w:rsidR="006F65D5" w:rsidRPr="009A0E7B" w:rsidRDefault="006F65D5" w:rsidP="009848E5">
      <w:pPr>
        <w:pStyle w:val="ListParagraph"/>
        <w:numPr>
          <w:ilvl w:val="0"/>
          <w:numId w:val="24"/>
        </w:numPr>
        <w:rPr>
          <w:rFonts w:ascii="Arial" w:hAnsi="Arial" w:cs="Arial"/>
        </w:rPr>
      </w:pPr>
      <w:r w:rsidRPr="009A0E7B">
        <w:rPr>
          <w:rFonts w:ascii="Arial" w:hAnsi="Arial" w:cs="Arial"/>
        </w:rPr>
        <w:t>Research active</w:t>
      </w:r>
      <w:r w:rsidR="002511DF" w:rsidRPr="009A0E7B">
        <w:rPr>
          <w:rFonts w:ascii="Arial" w:hAnsi="Arial" w:cs="Arial"/>
        </w:rPr>
        <w:t>/</w:t>
      </w:r>
      <w:r w:rsidR="009A0E7B">
        <w:rPr>
          <w:rFonts w:ascii="Arial" w:hAnsi="Arial" w:cs="Arial"/>
        </w:rPr>
        <w:t>e</w:t>
      </w:r>
      <w:r w:rsidR="002511DF" w:rsidRPr="009A0E7B">
        <w:rPr>
          <w:rFonts w:ascii="Arial" w:hAnsi="Arial" w:cs="Arial"/>
        </w:rPr>
        <w:t>vidence of research potential showed through publication track record</w:t>
      </w:r>
    </w:p>
    <w:p w14:paraId="00F3C174" w14:textId="77777777" w:rsidR="00766871" w:rsidRDefault="00766871" w:rsidP="00F168AA">
      <w:pPr>
        <w:ind w:left="720" w:hanging="720"/>
        <w:rPr>
          <w:rFonts w:ascii="Arial" w:hAnsi="Arial" w:cs="Arial"/>
        </w:rPr>
      </w:pPr>
    </w:p>
    <w:p w14:paraId="76B972B5" w14:textId="7B3D9B58" w:rsidR="00177727" w:rsidRPr="008016F9" w:rsidRDefault="008016F9" w:rsidP="00F168AA">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5">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60D4445C" w14:textId="21313EA5" w:rsidR="008126DA" w:rsidRPr="001D4A17" w:rsidRDefault="006050C8" w:rsidP="001D4A17">
      <w:pPr>
        <w:jc w:val="both"/>
        <w:rPr>
          <w:rFonts w:ascii="Arial" w:eastAsia="Times New Roman" w:hAnsi="Arial" w:cs="Arial"/>
          <w:color w:val="000000"/>
        </w:rPr>
      </w:pPr>
      <w:r w:rsidRPr="001D4A17">
        <w:rPr>
          <w:rFonts w:ascii="Arial" w:eastAsia="Times New Roman" w:hAnsi="Arial" w:cs="Arial"/>
          <w:color w:val="000000"/>
        </w:rPr>
        <w:t>At Brighton, we encourage our students and staff to explore their passions and their curiosity</w:t>
      </w:r>
      <w:r w:rsidRPr="001D4A17" w:rsidDel="001D0A8D">
        <w:rPr>
          <w:rFonts w:ascii="Arial" w:eastAsia="Times New Roman" w:hAnsi="Arial" w:cs="Arial"/>
          <w:color w:val="000000"/>
        </w:rPr>
        <w:t xml:space="preserve"> </w:t>
      </w:r>
      <w:r w:rsidRPr="001D4A17">
        <w:rPr>
          <w:rFonts w:ascii="Arial" w:eastAsia="Times New Roman" w:hAnsi="Arial" w:cs="Arial"/>
          <w:color w:val="000000"/>
        </w:rPr>
        <w:t xml:space="preserve">through individual </w:t>
      </w:r>
      <w:r w:rsidR="00572D8E">
        <w:rPr>
          <w:rFonts w:ascii="Arial" w:eastAsia="Times New Roman" w:hAnsi="Arial" w:cs="Arial"/>
          <w:color w:val="000000"/>
        </w:rPr>
        <w:t xml:space="preserve">research </w:t>
      </w:r>
      <w:r w:rsidRPr="001D4A17">
        <w:rPr>
          <w:rFonts w:ascii="Arial" w:eastAsia="Times New Roman" w:hAnsi="Arial" w:cs="Arial"/>
          <w:color w:val="000000"/>
        </w:rPr>
        <w:t xml:space="preserve">interests and interdisciplinary collaboration.  Brighton Business School’s main objective is to advance teaching and research focused on responsible enterprise and business management that makes a real difference. We are proud that REF 2014 judged our Business and Management research to be the 5th most impactful and </w:t>
      </w:r>
      <w:r w:rsidRPr="001D4A17">
        <w:rPr>
          <w:rFonts w:ascii="Arial" w:eastAsia="Times New Roman" w:hAnsi="Arial" w:cs="Arial"/>
        </w:rPr>
        <w:t>top 20 for world-leading research impact in Leisure and Tourism</w:t>
      </w:r>
      <w:r w:rsidRPr="001D4A17">
        <w:rPr>
          <w:rFonts w:ascii="Arial" w:eastAsia="Times New Roman" w:hAnsi="Arial" w:cs="Arial"/>
          <w:color w:val="000000"/>
        </w:rPr>
        <w:t xml:space="preserve"> within the UK</w:t>
      </w:r>
      <w:r w:rsidRPr="001D4A17">
        <w:rPr>
          <w:rFonts w:ascii="Arial" w:eastAsia="Times New Roman" w:hAnsi="Arial" w:cs="Arial"/>
        </w:rPr>
        <w:t xml:space="preserve">. </w:t>
      </w:r>
      <w:r w:rsidRPr="001D4A17">
        <w:rPr>
          <w:rFonts w:ascii="Arial" w:eastAsia="Times New Roman" w:hAnsi="Arial" w:cs="Arial"/>
          <w:color w:val="000000"/>
        </w:rPr>
        <w:t>We are cu</w:t>
      </w:r>
      <w:r w:rsidR="00FB5434" w:rsidRPr="001D4A17">
        <w:rPr>
          <w:rFonts w:ascii="Arial" w:eastAsia="Times New Roman" w:hAnsi="Arial" w:cs="Arial"/>
          <w:color w:val="000000"/>
        </w:rPr>
        <w:t>r</w:t>
      </w:r>
      <w:r w:rsidRPr="001D4A17">
        <w:rPr>
          <w:rFonts w:ascii="Arial" w:eastAsia="Times New Roman" w:hAnsi="Arial" w:cs="Arial"/>
          <w:color w:val="000000"/>
        </w:rPr>
        <w:t>rently working towards gaining an AACSB accreditation.</w:t>
      </w:r>
    </w:p>
    <w:p w14:paraId="5DA76474" w14:textId="28705369" w:rsidR="00E63F90" w:rsidRPr="00C01825" w:rsidRDefault="00E63F90" w:rsidP="00C01825">
      <w:pPr>
        <w:pStyle w:val="ListParagraph"/>
        <w:widowControl w:val="0"/>
        <w:numPr>
          <w:ilvl w:val="0"/>
          <w:numId w:val="8"/>
        </w:numPr>
        <w:tabs>
          <w:tab w:val="left" w:pos="2736"/>
        </w:tabs>
        <w:ind w:hanging="720"/>
        <w:rPr>
          <w:rFonts w:ascii="Arial" w:hAnsi="Arial" w:cs="Arial"/>
        </w:rPr>
      </w:pPr>
      <w:r w:rsidRPr="00E63F90">
        <w:rPr>
          <w:rFonts w:ascii="Arial" w:hAnsi="Arial" w:cs="Arial"/>
        </w:rPr>
        <w:t xml:space="preserve">The appointment </w:t>
      </w:r>
      <w:r w:rsidR="00C01825" w:rsidRPr="00E63F90">
        <w:rPr>
          <w:rFonts w:ascii="Arial" w:hAnsi="Arial" w:cs="Arial"/>
        </w:rPr>
        <w:t xml:space="preserve">is </w:t>
      </w:r>
      <w:r w:rsidR="00C01825">
        <w:rPr>
          <w:rFonts w:ascii="Arial" w:hAnsi="Arial" w:cs="Arial"/>
        </w:rPr>
        <w:t>offered as permanent post.</w:t>
      </w:r>
    </w:p>
    <w:p w14:paraId="2C4E67EB" w14:textId="0B3C02FA"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307BC116" w14:textId="4597DA86"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06408732" w14:textId="5183B84F" w:rsidR="0035277F" w:rsidRPr="00E63F90" w:rsidRDefault="0035277F" w:rsidP="00F22221">
      <w:pPr>
        <w:pStyle w:val="ListParagraph"/>
        <w:widowControl w:val="0"/>
        <w:numPr>
          <w:ilvl w:val="0"/>
          <w:numId w:val="8"/>
        </w:numPr>
        <w:ind w:hanging="720"/>
        <w:rPr>
          <w:rFonts w:ascii="Arial" w:hAnsi="Arial" w:cs="Arial"/>
        </w:rPr>
      </w:pPr>
      <w:r w:rsidRPr="00E63F90">
        <w:rPr>
          <w:rFonts w:ascii="Arial" w:hAnsi="Arial" w:cs="Arial"/>
        </w:rPr>
        <w:t>This post is full-time.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FEAFC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1DA95F6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5BD8F3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542B1B0C" w14:textId="77777777" w:rsidR="0035277F" w:rsidRDefault="0035277F" w:rsidP="00F22221">
      <w:pPr>
        <w:pStyle w:val="ListParagraph"/>
        <w:widowControl w:val="0"/>
        <w:rPr>
          <w:rFonts w:ascii="Arial" w:hAnsi="Arial" w:cs="Arial"/>
        </w:rPr>
      </w:pPr>
      <w:r w:rsidRPr="0035277F">
        <w:rPr>
          <w:rFonts w:ascii="Arial" w:hAnsi="Arial" w:cs="Arial"/>
        </w:rPr>
        <w:lastRenderedPageBreak/>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6BD7C688" w14:textId="77777777" w:rsidR="002F2D9A" w:rsidRDefault="002F2D9A" w:rsidP="00F22221">
      <w:pPr>
        <w:pStyle w:val="ListParagraph"/>
        <w:spacing w:after="0"/>
        <w:ind w:left="360"/>
        <w:rPr>
          <w:rFonts w:ascii="Arial" w:hAnsi="Arial" w:cs="Arial"/>
        </w:rPr>
      </w:pPr>
    </w:p>
    <w:p w14:paraId="53C5658C" w14:textId="6E1F7EE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F168AA">
      <w:pPr>
        <w:spacing w:after="0"/>
        <w:ind w:firstLine="360"/>
        <w:rPr>
          <w:rFonts w:ascii="Arial" w:hAnsi="Arial" w:cs="Arial"/>
        </w:rPr>
      </w:pPr>
    </w:p>
    <w:p w14:paraId="2F8B6103" w14:textId="77777777" w:rsidR="004A3655" w:rsidRPr="004A3655" w:rsidRDefault="000F2495" w:rsidP="00F168AA">
      <w:pPr>
        <w:pStyle w:val="ListParagraph"/>
        <w:numPr>
          <w:ilvl w:val="0"/>
          <w:numId w:val="19"/>
        </w:numPr>
        <w:spacing w:after="0"/>
        <w:rPr>
          <w:rFonts w:ascii="Arial" w:hAnsi="Arial" w:cs="Arial"/>
          <w:color w:val="0000FF"/>
          <w:u w:val="single"/>
        </w:rPr>
      </w:pPr>
      <w:hyperlink r:id="rId16"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2C6D656A" w14:textId="11157853" w:rsidR="00F168AA" w:rsidRPr="004A3655" w:rsidRDefault="000F2495" w:rsidP="00F168AA">
      <w:pPr>
        <w:pStyle w:val="ListParagraph"/>
        <w:numPr>
          <w:ilvl w:val="0"/>
          <w:numId w:val="19"/>
        </w:numPr>
        <w:spacing w:after="0"/>
        <w:rPr>
          <w:rFonts w:ascii="Arial" w:hAnsi="Arial" w:cs="Arial"/>
          <w:color w:val="0000FF"/>
          <w:u w:val="single"/>
        </w:rPr>
      </w:pPr>
      <w:hyperlink r:id="rId17"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626DDD2F" w14:textId="47245162" w:rsidR="008C4C85" w:rsidRDefault="000F2495" w:rsidP="008C4C85">
      <w:pPr>
        <w:pStyle w:val="ListParagraph"/>
        <w:numPr>
          <w:ilvl w:val="0"/>
          <w:numId w:val="19"/>
        </w:numPr>
        <w:spacing w:after="0"/>
        <w:rPr>
          <w:rFonts w:ascii="Arial" w:hAnsi="Arial" w:cs="Arial"/>
          <w:color w:val="0000FF"/>
          <w:u w:val="single"/>
        </w:rPr>
      </w:pPr>
      <w:hyperlink r:id="rId18" w:history="1">
        <w:r w:rsidR="008C4C85">
          <w:rPr>
            <w:rStyle w:val="Hyperlink"/>
            <w:rFonts w:ascii="Arial" w:hAnsi="Arial" w:cs="Arial"/>
          </w:rPr>
          <w:t>Professional services departments</w:t>
        </w:r>
      </w:hyperlink>
    </w:p>
    <w:p w14:paraId="6D553E52" w14:textId="5752FC95"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9" w:history="1">
        <w:r w:rsidRPr="0045301D">
          <w:rPr>
            <w:rStyle w:val="Hyperlink"/>
            <w:rFonts w:ascii="Arial" w:hAnsi="Arial" w:cs="Arial"/>
          </w:rPr>
          <w:t>2016 - 2021 Strategy</w:t>
        </w:r>
      </w:hyperlink>
      <w:r w:rsidRPr="000D48AF">
        <w:rPr>
          <w:rFonts w:ascii="Arial" w:hAnsi="Arial" w:cs="Arial"/>
        </w:rPr>
        <w:t xml:space="preserve"> </w:t>
      </w:r>
    </w:p>
    <w:p w14:paraId="10EC086E" w14:textId="77777777" w:rsidR="00100224" w:rsidRDefault="00100224" w:rsidP="00F168AA">
      <w:pPr>
        <w:spacing w:after="0"/>
      </w:pPr>
    </w:p>
    <w:p w14:paraId="495C3BAD" w14:textId="11357949"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20"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1"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2" w:history="1">
        <w:r w:rsidR="004A3655" w:rsidRPr="004A3655">
          <w:rPr>
            <w:rStyle w:val="Hyperlink"/>
            <w:rFonts w:ascii="Arial" w:hAnsi="Arial" w:cs="Arial"/>
          </w:rPr>
          <w:t>Benefits and facilities</w:t>
        </w:r>
      </w:hyperlink>
      <w:r w:rsidR="004A3655" w:rsidRPr="004A3655">
        <w:rPr>
          <w:rFonts w:ascii="Arial" w:hAnsi="Arial" w:cs="Arial"/>
        </w:rPr>
        <w:t>.</w:t>
      </w:r>
    </w:p>
    <w:p w14:paraId="4CE0064F" w14:textId="77777777" w:rsidR="00CC2103" w:rsidRDefault="00CC2103" w:rsidP="00CC2103">
      <w:pPr>
        <w:widowControl w:val="0"/>
        <w:tabs>
          <w:tab w:val="left" w:pos="2736"/>
        </w:tabs>
        <w:spacing w:after="0"/>
        <w:ind w:left="2194" w:hanging="2194"/>
      </w:pPr>
    </w:p>
    <w:p w14:paraId="500D685B" w14:textId="43FEE7BE" w:rsidR="009E7858" w:rsidRDefault="009E7858" w:rsidP="00507024">
      <w:pPr>
        <w:widowControl w:val="0"/>
        <w:spacing w:after="0"/>
        <w:rPr>
          <w:rFonts w:ascii="Arial" w:hAnsi="Arial" w:cs="Arial"/>
          <w:highlight w:val="cyan"/>
        </w:rPr>
      </w:pPr>
    </w:p>
    <w:p w14:paraId="7C070690" w14:textId="77777777"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6D66968C" w14:textId="0AA4153B" w:rsidR="00CC2103" w:rsidRDefault="00CC2103" w:rsidP="00CC2103">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3" w:history="1">
        <w:r w:rsidRPr="004A3655">
          <w:rPr>
            <w:rStyle w:val="Hyperlink"/>
            <w:rFonts w:ascii="Arial" w:hAnsi="Arial" w:cs="Arial"/>
          </w:rPr>
          <w:t>Benefits and facilities</w:t>
        </w:r>
      </w:hyperlink>
      <w:r>
        <w:rPr>
          <w:rFonts w:ascii="Arial" w:hAnsi="Arial" w:cs="Arial"/>
        </w:rPr>
        <w:t>.</w:t>
      </w:r>
    </w:p>
    <w:p w14:paraId="7446B5F3" w14:textId="0BCE424C"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5CC5B5EA" w14:textId="20C6BC6B"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14:paraId="27E0B178"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27684CCC"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 xml:space="preserve">The Postgraduate Certificate in Health and Social Care Education (run by the School of </w:t>
      </w:r>
      <w:r w:rsidR="00A368E8">
        <w:rPr>
          <w:rFonts w:ascii="Arial" w:hAnsi="Arial" w:cs="Arial"/>
        </w:rPr>
        <w:t>Health Sciences</w:t>
      </w:r>
      <w:r w:rsidRPr="004A1203">
        <w:rPr>
          <w:rFonts w:ascii="Arial" w:hAnsi="Arial" w:cs="Arial"/>
        </w:rPr>
        <w:t>, for staff within the school);</w:t>
      </w:r>
    </w:p>
    <w:p w14:paraId="37B67B14" w14:textId="62062F3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Clinical Education (run by the School of Health </w:t>
      </w:r>
      <w:r w:rsidR="00A368E8">
        <w:rPr>
          <w:rFonts w:ascii="Arial" w:hAnsi="Arial" w:cs="Arial"/>
        </w:rPr>
        <w:t>Sciences</w:t>
      </w:r>
      <w:r w:rsidRPr="00EB0C90">
        <w:rPr>
          <w:rFonts w:ascii="Arial" w:hAnsi="Arial" w:cs="Arial"/>
        </w:rPr>
        <w:t>, for staff within the school);</w:t>
      </w:r>
      <w:r w:rsidR="00EB0C90">
        <w:rPr>
          <w:rFonts w:ascii="Arial" w:hAnsi="Arial" w:cs="Arial"/>
        </w:rPr>
        <w:t xml:space="preserve"> </w:t>
      </w:r>
    </w:p>
    <w:p w14:paraId="6B089E0B" w14:textId="6C00FE45"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Medical Education (run by </w:t>
      </w:r>
      <w:r w:rsidR="00A368E8">
        <w:rPr>
          <w:rFonts w:ascii="Arial" w:hAnsi="Arial" w:cs="Arial"/>
        </w:rPr>
        <w:t>Brighton and Sussex Medical School</w:t>
      </w:r>
      <w:r w:rsidRPr="00EB0C90">
        <w:rPr>
          <w:rFonts w:ascii="Arial" w:hAnsi="Arial" w:cs="Arial"/>
        </w:rPr>
        <w:t>).</w:t>
      </w:r>
    </w:p>
    <w:p w14:paraId="02BA2C8A" w14:textId="77777777" w:rsidR="00EB0C90" w:rsidRPr="00EB0C90" w:rsidRDefault="00EB0C90" w:rsidP="00F168AA">
      <w:pPr>
        <w:widowControl w:val="0"/>
        <w:spacing w:after="0" w:line="240" w:lineRule="atLeast"/>
        <w:rPr>
          <w:rFonts w:ascii="Arial" w:hAnsi="Arial" w:cs="Arial"/>
        </w:rPr>
      </w:pPr>
    </w:p>
    <w:p w14:paraId="63020308" w14:textId="783D894D"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F168AA">
      <w:pPr>
        <w:widowControl w:val="0"/>
        <w:spacing w:after="0" w:line="240" w:lineRule="atLeast"/>
        <w:ind w:left="426"/>
        <w:rPr>
          <w:rFonts w:ascii="Arial" w:hAnsi="Arial" w:cs="Arial"/>
        </w:rPr>
      </w:pPr>
    </w:p>
    <w:p w14:paraId="5F3B2BC3" w14:textId="754758F4"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F168AA">
      <w:pPr>
        <w:widowControl w:val="0"/>
        <w:spacing w:after="0" w:line="240" w:lineRule="atLeast"/>
        <w:ind w:left="426"/>
        <w:rPr>
          <w:rFonts w:ascii="Arial" w:hAnsi="Arial" w:cs="Arial"/>
        </w:rPr>
      </w:pPr>
    </w:p>
    <w:p w14:paraId="7C0ABA38" w14:textId="332B7990"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4" w:history="1">
        <w:r w:rsidR="00F22221">
          <w:rPr>
            <w:rStyle w:val="Hyperlink"/>
            <w:rFonts w:ascii="Arial" w:hAnsi="Arial" w:cs="Arial"/>
          </w:rPr>
          <w:t>Centre for Learning and Teaching</w:t>
        </w:r>
      </w:hyperlink>
      <w:r w:rsidR="00F22221">
        <w:rPr>
          <w:rFonts w:ascii="Arial" w:hAnsi="Arial" w:cs="Arial"/>
        </w:rPr>
        <w:t xml:space="preserve">. </w:t>
      </w:r>
    </w:p>
    <w:p w14:paraId="38D15AE9" w14:textId="77777777" w:rsidR="006D67FD" w:rsidRDefault="006D67FD" w:rsidP="00F168AA">
      <w:pPr>
        <w:widowControl w:val="0"/>
        <w:spacing w:after="0" w:line="240" w:lineRule="atLeast"/>
        <w:rPr>
          <w:rFonts w:ascii="Arial" w:hAnsi="Arial" w:cs="Arial"/>
        </w:rPr>
      </w:pPr>
    </w:p>
    <w:p w14:paraId="25241349" w14:textId="0DCE5814" w:rsidR="00CC2103" w:rsidRDefault="00CC2103" w:rsidP="00F168AA">
      <w:pPr>
        <w:widowControl w:val="0"/>
        <w:spacing w:after="0" w:line="240" w:lineRule="atLeast"/>
        <w:rPr>
          <w:rFonts w:ascii="Arial" w:hAnsi="Arial" w:cs="Arial"/>
        </w:rPr>
      </w:pPr>
    </w:p>
    <w:p w14:paraId="74E19998" w14:textId="77777777" w:rsidR="00CC2103" w:rsidRDefault="00CC2103" w:rsidP="00F168AA">
      <w:pPr>
        <w:widowControl w:val="0"/>
        <w:spacing w:after="0" w:line="240" w:lineRule="atLeast"/>
        <w:rPr>
          <w:rFonts w:ascii="Arial" w:hAnsi="Arial" w:cs="Arial"/>
        </w:rPr>
      </w:pPr>
    </w:p>
    <w:p w14:paraId="40F627A2" w14:textId="5E08F425" w:rsidR="00CC2103" w:rsidRPr="006D67FD" w:rsidRDefault="00CC2103" w:rsidP="00F168AA">
      <w:pPr>
        <w:widowControl w:val="0"/>
        <w:spacing w:after="0" w:line="240" w:lineRule="atLeast"/>
        <w:rPr>
          <w:rFonts w:ascii="Arial" w:hAnsi="Arial" w:cs="Arial"/>
        </w:rPr>
      </w:pPr>
      <w:r w:rsidRPr="00C01825">
        <w:rPr>
          <w:rFonts w:ascii="Arial" w:hAnsi="Arial" w:cs="Arial"/>
        </w:rPr>
        <w:t xml:space="preserve">Date:  </w:t>
      </w:r>
      <w:r w:rsidR="00C01825" w:rsidRPr="00C01825">
        <w:rPr>
          <w:rFonts w:ascii="Arial" w:hAnsi="Arial" w:cs="Arial"/>
        </w:rPr>
        <w:t>2</w:t>
      </w:r>
      <w:r w:rsidR="00E27DDB">
        <w:rPr>
          <w:rFonts w:ascii="Arial" w:hAnsi="Arial" w:cs="Arial"/>
        </w:rPr>
        <w:t>8</w:t>
      </w:r>
      <w:r w:rsidR="00C01825" w:rsidRPr="00C01825">
        <w:rPr>
          <w:rFonts w:ascii="Arial" w:hAnsi="Arial" w:cs="Arial"/>
        </w:rPr>
        <w:t>/01/2021</w:t>
      </w:r>
    </w:p>
    <w:sectPr w:rsidR="00CC2103" w:rsidRPr="006D67FD">
      <w:headerReference w:type="default" r:id="rId2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566F" w16cex:dateUtc="2021-03-23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781A" w14:textId="77777777" w:rsidR="000F2495" w:rsidRDefault="000F2495" w:rsidP="000742F4">
      <w:pPr>
        <w:spacing w:after="0" w:line="240" w:lineRule="auto"/>
      </w:pPr>
      <w:r>
        <w:separator/>
      </w:r>
    </w:p>
  </w:endnote>
  <w:endnote w:type="continuationSeparator" w:id="0">
    <w:p w14:paraId="3A745D31" w14:textId="77777777" w:rsidR="000F2495" w:rsidRDefault="000F2495"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Palatino">
    <w:charset w:val="4D"/>
    <w:family w:val="auto"/>
    <w:pitch w:val="variable"/>
    <w:sig w:usb0="A00002FF" w:usb1="7800205A" w:usb2="14600000" w:usb3="00000000" w:csb0="00000193"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F368E" w14:textId="77777777" w:rsidR="000F2495" w:rsidRDefault="000F2495" w:rsidP="000742F4">
      <w:pPr>
        <w:spacing w:after="0" w:line="240" w:lineRule="auto"/>
      </w:pPr>
      <w:r>
        <w:separator/>
      </w:r>
    </w:p>
  </w:footnote>
  <w:footnote w:type="continuationSeparator" w:id="0">
    <w:p w14:paraId="2C0D4D01" w14:textId="77777777" w:rsidR="000F2495" w:rsidRDefault="000F2495"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42F8E"/>
    <w:multiLevelType w:val="hybridMultilevel"/>
    <w:tmpl w:val="CD4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24F9"/>
    <w:multiLevelType w:val="hybridMultilevel"/>
    <w:tmpl w:val="2236B82E"/>
    <w:lvl w:ilvl="0" w:tplc="DBD64C36">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3041275"/>
    <w:multiLevelType w:val="hybridMultilevel"/>
    <w:tmpl w:val="A4DA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879DE"/>
    <w:multiLevelType w:val="hybridMultilevel"/>
    <w:tmpl w:val="15BC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E62BA"/>
    <w:multiLevelType w:val="hybridMultilevel"/>
    <w:tmpl w:val="8B6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0"/>
  </w:num>
  <w:num w:numId="5">
    <w:abstractNumId w:val="14"/>
  </w:num>
  <w:num w:numId="6">
    <w:abstractNumId w:val="6"/>
  </w:num>
  <w:num w:numId="7">
    <w:abstractNumId w:val="8"/>
  </w:num>
  <w:num w:numId="8">
    <w:abstractNumId w:val="7"/>
  </w:num>
  <w:num w:numId="9">
    <w:abstractNumId w:val="16"/>
  </w:num>
  <w:num w:numId="10">
    <w:abstractNumId w:val="1"/>
  </w:num>
  <w:num w:numId="11">
    <w:abstractNumId w:val="4"/>
  </w:num>
  <w:num w:numId="12">
    <w:abstractNumId w:val="12"/>
  </w:num>
  <w:num w:numId="13">
    <w:abstractNumId w:val="17"/>
  </w:num>
  <w:num w:numId="14">
    <w:abstractNumId w:val="23"/>
  </w:num>
  <w:num w:numId="15">
    <w:abstractNumId w:val="10"/>
  </w:num>
  <w:num w:numId="16">
    <w:abstractNumId w:val="18"/>
  </w:num>
  <w:num w:numId="17">
    <w:abstractNumId w:val="13"/>
  </w:num>
  <w:num w:numId="18">
    <w:abstractNumId w:val="15"/>
  </w:num>
  <w:num w:numId="19">
    <w:abstractNumId w:val="0"/>
  </w:num>
  <w:num w:numId="20">
    <w:abstractNumId w:val="5"/>
  </w:num>
  <w:num w:numId="21">
    <w:abstractNumId w:val="9"/>
  </w:num>
  <w:num w:numId="22">
    <w:abstractNumId w:val="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12AE"/>
    <w:rsid w:val="000742F4"/>
    <w:rsid w:val="000D48AF"/>
    <w:rsid w:val="000F2495"/>
    <w:rsid w:val="00100224"/>
    <w:rsid w:val="001456D0"/>
    <w:rsid w:val="00157530"/>
    <w:rsid w:val="001769C2"/>
    <w:rsid w:val="00177727"/>
    <w:rsid w:val="00193092"/>
    <w:rsid w:val="001D4A17"/>
    <w:rsid w:val="00233379"/>
    <w:rsid w:val="002409F7"/>
    <w:rsid w:val="002511DF"/>
    <w:rsid w:val="00294B38"/>
    <w:rsid w:val="002B76BC"/>
    <w:rsid w:val="002E5D71"/>
    <w:rsid w:val="002F2D9A"/>
    <w:rsid w:val="0030586C"/>
    <w:rsid w:val="00350424"/>
    <w:rsid w:val="0035277F"/>
    <w:rsid w:val="003648EB"/>
    <w:rsid w:val="003A6FCD"/>
    <w:rsid w:val="003B1D54"/>
    <w:rsid w:val="003D0706"/>
    <w:rsid w:val="003D2A5E"/>
    <w:rsid w:val="003E1BDE"/>
    <w:rsid w:val="003F08D0"/>
    <w:rsid w:val="0045301D"/>
    <w:rsid w:val="00454417"/>
    <w:rsid w:val="0046350E"/>
    <w:rsid w:val="00477F50"/>
    <w:rsid w:val="004A1203"/>
    <w:rsid w:val="004A3655"/>
    <w:rsid w:val="004C702A"/>
    <w:rsid w:val="004F4C29"/>
    <w:rsid w:val="00507024"/>
    <w:rsid w:val="005260C9"/>
    <w:rsid w:val="0054409E"/>
    <w:rsid w:val="00546618"/>
    <w:rsid w:val="00572D8E"/>
    <w:rsid w:val="005A2304"/>
    <w:rsid w:val="005A27CE"/>
    <w:rsid w:val="005A6876"/>
    <w:rsid w:val="005C1C9E"/>
    <w:rsid w:val="005C40B4"/>
    <w:rsid w:val="005D40DA"/>
    <w:rsid w:val="005F7418"/>
    <w:rsid w:val="006050C8"/>
    <w:rsid w:val="00623C07"/>
    <w:rsid w:val="006372DE"/>
    <w:rsid w:val="00664507"/>
    <w:rsid w:val="006A565C"/>
    <w:rsid w:val="006B168C"/>
    <w:rsid w:val="006C19B1"/>
    <w:rsid w:val="006D67FD"/>
    <w:rsid w:val="006E143D"/>
    <w:rsid w:val="006F65D5"/>
    <w:rsid w:val="006F7241"/>
    <w:rsid w:val="00707C7F"/>
    <w:rsid w:val="00725041"/>
    <w:rsid w:val="00733293"/>
    <w:rsid w:val="007370F5"/>
    <w:rsid w:val="00746DA0"/>
    <w:rsid w:val="00766871"/>
    <w:rsid w:val="0078282A"/>
    <w:rsid w:val="007C3EDA"/>
    <w:rsid w:val="007C6C32"/>
    <w:rsid w:val="008000DB"/>
    <w:rsid w:val="008016F9"/>
    <w:rsid w:val="008126DA"/>
    <w:rsid w:val="008433D8"/>
    <w:rsid w:val="00847FAE"/>
    <w:rsid w:val="008C4C85"/>
    <w:rsid w:val="008F25E6"/>
    <w:rsid w:val="00910B42"/>
    <w:rsid w:val="0092241B"/>
    <w:rsid w:val="00922E48"/>
    <w:rsid w:val="00945C8B"/>
    <w:rsid w:val="00951603"/>
    <w:rsid w:val="0095400F"/>
    <w:rsid w:val="009A0E7B"/>
    <w:rsid w:val="009C440E"/>
    <w:rsid w:val="009D1493"/>
    <w:rsid w:val="009D70D5"/>
    <w:rsid w:val="009E135C"/>
    <w:rsid w:val="009E4305"/>
    <w:rsid w:val="009E763C"/>
    <w:rsid w:val="009E7858"/>
    <w:rsid w:val="00A16D2A"/>
    <w:rsid w:val="00A2502F"/>
    <w:rsid w:val="00A368E8"/>
    <w:rsid w:val="00A6540A"/>
    <w:rsid w:val="00A744F9"/>
    <w:rsid w:val="00A81672"/>
    <w:rsid w:val="00A8623D"/>
    <w:rsid w:val="00A87122"/>
    <w:rsid w:val="00A90952"/>
    <w:rsid w:val="00A965A8"/>
    <w:rsid w:val="00AA64B7"/>
    <w:rsid w:val="00AB523C"/>
    <w:rsid w:val="00AD4C39"/>
    <w:rsid w:val="00AF0D3F"/>
    <w:rsid w:val="00B07BD8"/>
    <w:rsid w:val="00B110A8"/>
    <w:rsid w:val="00B30E4E"/>
    <w:rsid w:val="00B7384E"/>
    <w:rsid w:val="00BB3EA5"/>
    <w:rsid w:val="00BD67F7"/>
    <w:rsid w:val="00C01825"/>
    <w:rsid w:val="00C04725"/>
    <w:rsid w:val="00C07524"/>
    <w:rsid w:val="00C17E19"/>
    <w:rsid w:val="00C2109F"/>
    <w:rsid w:val="00C524FC"/>
    <w:rsid w:val="00C53FCA"/>
    <w:rsid w:val="00C82F11"/>
    <w:rsid w:val="00CA1FF7"/>
    <w:rsid w:val="00CA56D7"/>
    <w:rsid w:val="00CA6B22"/>
    <w:rsid w:val="00CC2103"/>
    <w:rsid w:val="00CC4320"/>
    <w:rsid w:val="00CE15D8"/>
    <w:rsid w:val="00D1146F"/>
    <w:rsid w:val="00D218E6"/>
    <w:rsid w:val="00D400C4"/>
    <w:rsid w:val="00D927B0"/>
    <w:rsid w:val="00D975E2"/>
    <w:rsid w:val="00DB5F14"/>
    <w:rsid w:val="00E16E1D"/>
    <w:rsid w:val="00E22E98"/>
    <w:rsid w:val="00E27DDB"/>
    <w:rsid w:val="00E63F90"/>
    <w:rsid w:val="00E70F89"/>
    <w:rsid w:val="00E73CF9"/>
    <w:rsid w:val="00E828D4"/>
    <w:rsid w:val="00E94B48"/>
    <w:rsid w:val="00EB0C90"/>
    <w:rsid w:val="00EB4565"/>
    <w:rsid w:val="00EC6878"/>
    <w:rsid w:val="00EE7B45"/>
    <w:rsid w:val="00EF164E"/>
    <w:rsid w:val="00EF25D1"/>
    <w:rsid w:val="00F03C5D"/>
    <w:rsid w:val="00F16465"/>
    <w:rsid w:val="00F168AA"/>
    <w:rsid w:val="00F22221"/>
    <w:rsid w:val="00F24227"/>
    <w:rsid w:val="00F2755E"/>
    <w:rsid w:val="00F477BE"/>
    <w:rsid w:val="00FB1CB1"/>
    <w:rsid w:val="00FB5434"/>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B0C2807-BD9E-41DC-9205-A93E7ABC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3633653">
      <w:bodyDiv w:val="1"/>
      <w:marLeft w:val="0"/>
      <w:marRight w:val="0"/>
      <w:marTop w:val="0"/>
      <w:marBottom w:val="0"/>
      <w:divBdr>
        <w:top w:val="none" w:sz="0" w:space="0" w:color="auto"/>
        <w:left w:val="none" w:sz="0" w:space="0" w:color="auto"/>
        <w:bottom w:val="none" w:sz="0" w:space="0" w:color="auto"/>
        <w:right w:val="none" w:sz="0" w:space="0" w:color="auto"/>
      </w:divBdr>
      <w:divsChild>
        <w:div w:id="175313304">
          <w:marLeft w:val="0"/>
          <w:marRight w:val="0"/>
          <w:marTop w:val="0"/>
          <w:marBottom w:val="0"/>
          <w:divBdr>
            <w:top w:val="none" w:sz="0" w:space="0" w:color="auto"/>
            <w:left w:val="none" w:sz="0" w:space="0" w:color="auto"/>
            <w:bottom w:val="none" w:sz="0" w:space="0" w:color="auto"/>
            <w:right w:val="none" w:sz="0" w:space="0" w:color="auto"/>
          </w:divBdr>
        </w:div>
      </w:divsChild>
    </w:div>
    <w:div w:id="242421931">
      <w:bodyDiv w:val="1"/>
      <w:marLeft w:val="0"/>
      <w:marRight w:val="0"/>
      <w:marTop w:val="0"/>
      <w:marBottom w:val="0"/>
      <w:divBdr>
        <w:top w:val="none" w:sz="0" w:space="0" w:color="auto"/>
        <w:left w:val="none" w:sz="0" w:space="0" w:color="auto"/>
        <w:bottom w:val="none" w:sz="0" w:space="0" w:color="auto"/>
        <w:right w:val="none" w:sz="0" w:space="0" w:color="auto"/>
      </w:divBdr>
      <w:divsChild>
        <w:div w:id="459761201">
          <w:marLeft w:val="0"/>
          <w:marRight w:val="0"/>
          <w:marTop w:val="0"/>
          <w:marBottom w:val="0"/>
          <w:divBdr>
            <w:top w:val="none" w:sz="0" w:space="0" w:color="auto"/>
            <w:left w:val="none" w:sz="0" w:space="0" w:color="auto"/>
            <w:bottom w:val="none" w:sz="0" w:space="0" w:color="auto"/>
            <w:right w:val="none" w:sz="0" w:space="0" w:color="auto"/>
          </w:divBdr>
        </w:div>
      </w:divsChild>
    </w:div>
    <w:div w:id="766195576">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049063352">
      <w:bodyDiv w:val="1"/>
      <w:marLeft w:val="0"/>
      <w:marRight w:val="0"/>
      <w:marTop w:val="0"/>
      <w:marBottom w:val="0"/>
      <w:divBdr>
        <w:top w:val="none" w:sz="0" w:space="0" w:color="auto"/>
        <w:left w:val="none" w:sz="0" w:space="0" w:color="auto"/>
        <w:bottom w:val="none" w:sz="0" w:space="0" w:color="auto"/>
        <w:right w:val="none" w:sz="0" w:space="0" w:color="auto"/>
      </w:divBdr>
      <w:divsChild>
        <w:div w:id="1757483918">
          <w:marLeft w:val="0"/>
          <w:marRight w:val="0"/>
          <w:marTop w:val="0"/>
          <w:marBottom w:val="0"/>
          <w:divBdr>
            <w:top w:val="none" w:sz="0" w:space="0" w:color="auto"/>
            <w:left w:val="none" w:sz="0" w:space="0" w:color="auto"/>
            <w:bottom w:val="none" w:sz="0" w:space="0" w:color="auto"/>
            <w:right w:val="none" w:sz="0" w:space="0" w:color="auto"/>
          </w:divBdr>
        </w:div>
      </w:divsChild>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brighton.ac.uk/about-us/contact-us/professional-services-departments/index.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righton.ac.uk/about-us/working-with-us/jobs/equality-diversity-and-inclusion.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righton.ac.uk/research-and-enterprise/research/index.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ighton.ac.uk/about-us/contact-us/academic-departments/index.aspx" TargetMode="External"/><Relationship Id="rId20" Type="http://schemas.openxmlformats.org/officeDocument/2006/relationships/hyperlink" Target="https://www.brighton.ac.uk/about-us/working-with-us/jobs/index.asp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taff.brighton.ac.uk/clt/Pages/CLT-home.aspx" TargetMode="Externa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www.brighton.ac.uk/about-us/working-with-us/jobs/benefits-and-facilities.aspx" TargetMode="External"/><Relationship Id="rId10" Type="http://schemas.openxmlformats.org/officeDocument/2006/relationships/webSettings" Target="webSettings.xml"/><Relationship Id="rId19" Type="http://schemas.openxmlformats.org/officeDocument/2006/relationships/hyperlink" Target="https://www.brighton.ac.uk/practical-wisdom/index.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www.brighton.ac.uk/about-us/working-with-us/jobs/benefits-and-facilitie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_dlc_DocId xmlns="1fed1830-073c-4f46-a811-1d9744edcfbf">YHTY7QPWXA4N-220728286-132</_dlc_DocId>
    <_dlc_DocIdUrl xmlns="1fed1830-073c-4f46-a811-1d9744edcfbf">
      <Url>https://staff.brighton.ac.uk/hr/_layouts/DocIdRedir.aspx?ID=YHTY7QPWXA4N-220728286-132</Url>
      <Description>YHTY7QPWXA4N-220728286-132</Description>
    </_dlc_DocIdUrl>
  </documentManagement>
</p:properties>
</file>

<file path=customXml/item3.xml><?xml version="1.0" encoding="utf-8"?>
<?mso-contentType ?>
<SharedContentType xmlns="Microsoft.SharePoint.Taxonomy.ContentTypeSync" SourceId="e3fab070-f8e4-426a-ae3e-e50b52769b74" ContentTypeId="0x0101009EEBF4EEA106574CBB2CBD1021D2AA37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16" ma:contentTypeDescription="" ma:contentTypeScope="" ma:versionID="dae76ad13a6fa578ed5a8359bcbe714b">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4daa38c4e62a5ad77dd0acdd13eba2c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A3C2-FE30-45EB-B9CC-805D6B44C976}">
  <ds:schemaRefs>
    <ds:schemaRef ds:uri="http://schemas.microsoft.com/sharepoint/events"/>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3.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5.xml><?xml version="1.0" encoding="utf-8"?>
<ds:datastoreItem xmlns:ds="http://schemas.openxmlformats.org/officeDocument/2006/customXml" ds:itemID="{2D3125E4-F216-4D93-A4F6-4A24D301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AB40FD-68EA-43F9-892E-44F63471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Debbie Sherman</cp:lastModifiedBy>
  <cp:revision>4</cp:revision>
  <cp:lastPrinted>2016-10-24T14:35:00Z</cp:lastPrinted>
  <dcterms:created xsi:type="dcterms:W3CDTF">2021-03-31T05:47:00Z</dcterms:created>
  <dcterms:modified xsi:type="dcterms:W3CDTF">2021-03-31T05:57:00Z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